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1FC4B" w14:textId="2E1C7790" w:rsidR="00E47956" w:rsidRPr="00E47956" w:rsidRDefault="00E47956" w:rsidP="00E47956">
      <w:pPr>
        <w:pStyle w:val="NoSpacing"/>
        <w:jc w:val="center"/>
        <w:rPr>
          <w:b/>
        </w:rPr>
      </w:pPr>
      <w:bookmarkStart w:id="0" w:name="_Toc338167830"/>
      <w:bookmarkStart w:id="1" w:name="_Toc361136403"/>
      <w:bookmarkStart w:id="2" w:name="_Toc364235708"/>
      <w:bookmarkStart w:id="3" w:name="_Toc364235752"/>
      <w:bookmarkStart w:id="4" w:name="_Toc364235834"/>
      <w:bookmarkStart w:id="5" w:name="_Toc364840099"/>
      <w:bookmarkStart w:id="6" w:name="_Toc364864309"/>
      <w:bookmarkStart w:id="7" w:name="_Toc400361364"/>
      <w:bookmarkStart w:id="8" w:name="_Toc443397154"/>
      <w:bookmarkStart w:id="9" w:name="_Toc357771638"/>
      <w:bookmarkStart w:id="10" w:name="_Toc346793416"/>
      <w:bookmarkStart w:id="11" w:name="_Toc328122777"/>
      <w:r w:rsidRPr="00E47956">
        <w:rPr>
          <w:b/>
        </w:rPr>
        <w:t>Repton Manor Primary School</w:t>
      </w:r>
    </w:p>
    <w:p w14:paraId="15239573" w14:textId="32104A10" w:rsidR="00E47956" w:rsidRDefault="00E47956" w:rsidP="00E47956">
      <w:pPr>
        <w:pStyle w:val="NoSpacing"/>
        <w:jc w:val="center"/>
        <w:rPr>
          <w:b/>
        </w:rPr>
      </w:pPr>
      <w:r w:rsidRPr="00E47956">
        <w:rPr>
          <w:b/>
        </w:rPr>
        <w:t xml:space="preserve">Pupil Premium Strategy Plan </w:t>
      </w:r>
      <w:r w:rsidR="00BB1B9A">
        <w:rPr>
          <w:b/>
        </w:rPr>
        <w:t>2024 - 2025</w:t>
      </w:r>
    </w:p>
    <w:p w14:paraId="56EBE78E" w14:textId="77777777" w:rsidR="00E47956" w:rsidRPr="00E47956" w:rsidRDefault="00E47956" w:rsidP="00E47956">
      <w:pPr>
        <w:pStyle w:val="NoSpacing"/>
        <w:jc w:val="center"/>
        <w:rPr>
          <w:b/>
        </w:rPr>
      </w:pPr>
    </w:p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6E0CDE8F" w:rsidR="002940F3" w:rsidRDefault="00091814">
            <w:pPr>
              <w:pStyle w:val="TableRow"/>
            </w:pPr>
            <w:r>
              <w:t>4</w:t>
            </w:r>
            <w:r w:rsidR="003E16EB">
              <w:t>21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1987B4EB" w:rsidR="002940F3" w:rsidRDefault="003E16EB">
            <w:pPr>
              <w:pStyle w:val="TableRow"/>
            </w:pPr>
            <w:r>
              <w:t>89</w:t>
            </w:r>
            <w:r w:rsidR="00091814">
              <w:t xml:space="preserve"> (21.</w:t>
            </w:r>
            <w:r>
              <w:t>1</w:t>
            </w:r>
            <w:r w:rsidR="00E47956">
              <w:t>%)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46692BFD" w:rsidR="002940F3" w:rsidRDefault="00091814">
            <w:pPr>
              <w:pStyle w:val="TableRow"/>
            </w:pPr>
            <w:r>
              <w:t>2024-2027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27D8E29E" w:rsidR="002940F3" w:rsidRDefault="00091814" w:rsidP="00091814">
            <w:pPr>
              <w:pStyle w:val="TableRow"/>
              <w:ind w:left="0"/>
            </w:pPr>
            <w:r>
              <w:t>September 2023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4F6BCFC8" w:rsidR="002940F3" w:rsidRDefault="00121CE8" w:rsidP="00091814">
            <w:pPr>
              <w:pStyle w:val="TableRow"/>
              <w:ind w:left="0"/>
            </w:pPr>
            <w:r>
              <w:t>Septem</w:t>
            </w:r>
            <w:r w:rsidR="00091814">
              <w:t>ber 2024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4BC758AF" w:rsidR="002940F3" w:rsidRDefault="00BB1B9A">
            <w:pPr>
              <w:pStyle w:val="TableRow"/>
            </w:pPr>
            <w:r>
              <w:t>Matt Rawling</w:t>
            </w: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07372D47" w:rsidR="002940F3" w:rsidRDefault="00E47956">
            <w:pPr>
              <w:pStyle w:val="TableRow"/>
            </w:pPr>
            <w:r>
              <w:t>Louise Summers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8E71BD5" w:rsidR="002940F3" w:rsidRDefault="00BB1B9A">
            <w:pPr>
              <w:pStyle w:val="TableRow"/>
            </w:pPr>
            <w:r>
              <w:t>Evren Gursoy</w:t>
            </w:r>
          </w:p>
        </w:tc>
      </w:tr>
    </w:tbl>
    <w:bookmarkEnd w:id="9"/>
    <w:bookmarkEnd w:id="10"/>
    <w:bookmarkEnd w:id="11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CE87" w14:textId="77777777" w:rsidR="002F2315" w:rsidRPr="00091814" w:rsidRDefault="002F2315" w:rsidP="002F231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222222"/>
                <w:highlight w:val="yellow"/>
              </w:rPr>
            </w:pPr>
          </w:p>
          <w:p w14:paraId="31CF12AD" w14:textId="59F767A0" w:rsidR="00E66558" w:rsidRDefault="00C34F73" w:rsidP="00C34F73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£</w:t>
            </w:r>
            <w:r w:rsidR="006C3D61">
              <w:rPr>
                <w:rFonts w:cs="Arial"/>
                <w:color w:val="222222"/>
                <w:shd w:val="clear" w:color="auto" w:fill="FFFFFF"/>
              </w:rPr>
              <w:t>80,325.01</w:t>
            </w:r>
          </w:p>
          <w:p w14:paraId="2A7D54D8" w14:textId="21E38E19" w:rsidR="00C34F73" w:rsidRPr="00091814" w:rsidRDefault="00C34F73" w:rsidP="00C34F73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highlight w:val="yellow"/>
              </w:rPr>
            </w:pP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2465A5F" w:rsidR="00E66558" w:rsidRPr="00091814" w:rsidRDefault="00C34F73" w:rsidP="006C3D61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highlight w:val="yellow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£</w:t>
            </w:r>
            <w:r w:rsidR="006C3D61">
              <w:rPr>
                <w:rFonts w:cs="Arial"/>
                <w:color w:val="222222"/>
                <w:shd w:val="clear" w:color="auto" w:fill="FFFFFF"/>
              </w:rPr>
              <w:t>0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4CFA" w14:textId="77777777" w:rsidR="00E66558" w:rsidRDefault="009D71E8" w:rsidP="009C0914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  <w:p w14:paraId="2A7D54DD" w14:textId="70EB550D" w:rsidR="001E206F" w:rsidRPr="00586FBC" w:rsidRDefault="001E206F">
            <w:pPr>
              <w:pStyle w:val="TableRow"/>
              <w:rPr>
                <w:i/>
                <w:iCs/>
              </w:rPr>
            </w:pPr>
            <w:r w:rsidRPr="00586FBC">
              <w:rPr>
                <w:i/>
                <w:iCs/>
              </w:rPr>
              <w:t>*</w:t>
            </w:r>
            <w:r w:rsidR="009C0914" w:rsidRPr="00586FBC">
              <w:rPr>
                <w:i/>
                <w:iCs/>
              </w:rPr>
              <w:t>Recovery</w:t>
            </w:r>
            <w:r w:rsidRPr="00586FBC">
              <w:rPr>
                <w:i/>
                <w:iCs/>
              </w:rPr>
              <w:t xml:space="preserve"> premium </w:t>
            </w:r>
            <w:r w:rsidR="002940F3">
              <w:rPr>
                <w:i/>
                <w:iCs/>
              </w:rPr>
              <w:t>received in</w:t>
            </w:r>
            <w:r w:rsidR="00D877D0">
              <w:rPr>
                <w:i/>
                <w:iCs/>
              </w:rPr>
              <w:t xml:space="preserve"> </w:t>
            </w:r>
            <w:r w:rsidR="000D6596">
              <w:rPr>
                <w:i/>
                <w:iCs/>
              </w:rPr>
              <w:t xml:space="preserve">academic year </w:t>
            </w:r>
            <w:r w:rsidR="0092287F">
              <w:rPr>
                <w:i/>
                <w:iCs/>
              </w:rPr>
              <w:t>2021 to 2022 can be carried forward to</w:t>
            </w:r>
            <w:r w:rsidR="00ED5108">
              <w:rPr>
                <w:i/>
                <w:iCs/>
              </w:rPr>
              <w:t xml:space="preserve">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>. Recovery premium received in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 xml:space="preserve"> cannot be carried forward to 2023 to 2024.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5B9DE60F" w:rsidR="00E66558" w:rsidRPr="00091814" w:rsidRDefault="00C34F73" w:rsidP="002F231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highlight w:val="yellow"/>
              </w:rPr>
            </w:pPr>
            <w:r w:rsidRPr="00C34F73">
              <w:t>£0</w:t>
            </w:r>
            <w:r w:rsidR="002F2315" w:rsidRPr="00C34F73">
              <w:t xml:space="preserve"> 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0024336F" w:rsidR="00E66558" w:rsidRPr="00091814" w:rsidRDefault="00C34F73">
            <w:pPr>
              <w:pStyle w:val="TableRow"/>
              <w:rPr>
                <w:highlight w:val="yellow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£</w:t>
            </w:r>
            <w:r w:rsidR="006C3D61">
              <w:rPr>
                <w:rFonts w:cs="Arial"/>
                <w:color w:val="222222"/>
                <w:shd w:val="clear" w:color="auto" w:fill="FFFFFF"/>
              </w:rPr>
              <w:t>80,325.01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2" w:name="_Toc357771640"/>
      <w:bookmarkStart w:id="13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77AD" w14:textId="68C97085" w:rsidR="00E47956" w:rsidRP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>As a school community, including all staff, volunteers and the Governing Body</w:t>
            </w:r>
            <w:r w:rsidR="006E60F6">
              <w:rPr>
                <w:iCs/>
              </w:rPr>
              <w:t>,</w:t>
            </w:r>
            <w:r w:rsidRPr="00E47956">
              <w:rPr>
                <w:iCs/>
              </w:rPr>
              <w:t xml:space="preserve"> we are</w:t>
            </w:r>
          </w:p>
          <w:p w14:paraId="1491DC00" w14:textId="77777777" w:rsidR="00E47956" w:rsidRP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>fully committed to ensuring that children eligible for pupil premium funding are given</w:t>
            </w:r>
          </w:p>
          <w:p w14:paraId="3AB1AFA9" w14:textId="77777777" w:rsidR="00E47956" w:rsidRP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>the same opportunities to be as successful as their peers. We are committed to</w:t>
            </w:r>
          </w:p>
          <w:p w14:paraId="4DACC10F" w14:textId="77777777" w:rsidR="00E47956" w:rsidRP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>ensuring that their pastoral, social and academic needs are met in a nurturing</w:t>
            </w:r>
          </w:p>
          <w:p w14:paraId="77772E0B" w14:textId="77777777" w:rsidR="00E47956" w:rsidRP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>environment. We hope to ensure that each child leaves our school ready for their next</w:t>
            </w:r>
          </w:p>
          <w:p w14:paraId="322E54C8" w14:textId="77777777" w:rsidR="00E47956" w:rsidRP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>academic chapter, recognising their strengths and being able to reflect positively on</w:t>
            </w:r>
          </w:p>
          <w:p w14:paraId="1A1EA4BE" w14:textId="2B157B36" w:rsidR="00E47956" w:rsidRP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 xml:space="preserve">areas of needs. We aspire to ensure </w:t>
            </w:r>
            <w:r w:rsidR="006E60F6">
              <w:rPr>
                <w:iCs/>
              </w:rPr>
              <w:t xml:space="preserve">that </w:t>
            </w:r>
            <w:r w:rsidRPr="00E47956">
              <w:rPr>
                <w:iCs/>
              </w:rPr>
              <w:t>each child feels valued and proud of their</w:t>
            </w:r>
            <w:r w:rsidR="00267E06">
              <w:rPr>
                <w:iCs/>
              </w:rPr>
              <w:t xml:space="preserve"> own</w:t>
            </w:r>
            <w:r w:rsidR="006E60F6">
              <w:rPr>
                <w:iCs/>
              </w:rPr>
              <w:t xml:space="preserve"> </w:t>
            </w:r>
            <w:r w:rsidRPr="00E47956">
              <w:rPr>
                <w:iCs/>
              </w:rPr>
              <w:t>progress, whether that be in the classroom, socially with friends or in a sporting activity.</w:t>
            </w:r>
          </w:p>
          <w:p w14:paraId="24A2DC86" w14:textId="77777777" w:rsidR="00E47956" w:rsidRP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>In order to be highly successful in improving achievement for the children eligible for</w:t>
            </w:r>
          </w:p>
          <w:p w14:paraId="16F2CFCF" w14:textId="58B81420" w:rsidR="00E47956" w:rsidRDefault="00E47956" w:rsidP="00267E06">
            <w:pPr>
              <w:spacing w:after="0"/>
              <w:rPr>
                <w:iCs/>
              </w:rPr>
            </w:pPr>
            <w:r w:rsidRPr="00E47956">
              <w:rPr>
                <w:iCs/>
              </w:rPr>
              <w:t>pupil premium, the staff at Repton Manor Primary School will:</w:t>
            </w:r>
          </w:p>
          <w:p w14:paraId="28E8FB26" w14:textId="77777777" w:rsidR="00646A9B" w:rsidRPr="00E47956" w:rsidRDefault="00646A9B" w:rsidP="00646A9B">
            <w:pPr>
              <w:spacing w:after="0"/>
              <w:rPr>
                <w:iCs/>
              </w:rPr>
            </w:pPr>
          </w:p>
          <w:p w14:paraId="03A19B5B" w14:textId="77777777" w:rsidR="00E47956" w:rsidRPr="00646A9B" w:rsidRDefault="00E47956" w:rsidP="00646A9B">
            <w:pPr>
              <w:spacing w:after="0"/>
              <w:rPr>
                <w:iCs/>
              </w:rPr>
            </w:pPr>
            <w:r w:rsidRPr="00E47956">
              <w:rPr>
                <w:i/>
                <w:iCs/>
              </w:rPr>
              <w:t xml:space="preserve">● </w:t>
            </w:r>
            <w:r w:rsidRPr="00646A9B">
              <w:rPr>
                <w:iCs/>
              </w:rPr>
              <w:t>Ensure the school staff are aware of who the Pupil Premium children are and</w:t>
            </w:r>
          </w:p>
          <w:p w14:paraId="69D1AA41" w14:textId="77777777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ensure that the team are working in collaboration to promote their best interests</w:t>
            </w:r>
          </w:p>
          <w:p w14:paraId="2B7D624C" w14:textId="7FF562D9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and accelerate progress (academically, as well as socially and emotionally)</w:t>
            </w:r>
            <w:r w:rsidR="00646A9B" w:rsidRPr="00646A9B">
              <w:rPr>
                <w:iCs/>
              </w:rPr>
              <w:t>.</w:t>
            </w:r>
          </w:p>
          <w:p w14:paraId="0430B98E" w14:textId="77777777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● Never confuse eligibility for the Pupil Premium children with low ability, and</w:t>
            </w:r>
          </w:p>
          <w:p w14:paraId="5C4B3C0C" w14:textId="77777777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focus on supporting them to achieve the highest levels.</w:t>
            </w:r>
          </w:p>
          <w:p w14:paraId="4E13CC5B" w14:textId="302D6477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 xml:space="preserve">● Draw on research evidence (such as the </w:t>
            </w:r>
            <w:r w:rsidR="00646A9B" w:rsidRPr="00646A9B">
              <w:rPr>
                <w:iCs/>
              </w:rPr>
              <w:t xml:space="preserve">EEF Guide to Pupil Premium, </w:t>
            </w:r>
            <w:r w:rsidRPr="00646A9B">
              <w:rPr>
                <w:iCs/>
              </w:rPr>
              <w:t>Sutton Trust Toolkit</w:t>
            </w:r>
            <w:r w:rsidR="00267E06">
              <w:rPr>
                <w:iCs/>
              </w:rPr>
              <w:t xml:space="preserve"> etc</w:t>
            </w:r>
            <w:r w:rsidRPr="00646A9B">
              <w:rPr>
                <w:iCs/>
              </w:rPr>
              <w:t xml:space="preserve">) and </w:t>
            </w:r>
            <w:r w:rsidR="00646A9B" w:rsidRPr="00646A9B">
              <w:rPr>
                <w:iCs/>
              </w:rPr>
              <w:t xml:space="preserve">other relevant </w:t>
            </w:r>
            <w:r w:rsidRPr="00646A9B">
              <w:rPr>
                <w:iCs/>
              </w:rPr>
              <w:t>evidence</w:t>
            </w:r>
            <w:r w:rsidR="00646A9B" w:rsidRPr="00646A9B">
              <w:rPr>
                <w:iCs/>
              </w:rPr>
              <w:t xml:space="preserve"> </w:t>
            </w:r>
            <w:r w:rsidRPr="00646A9B">
              <w:rPr>
                <w:iCs/>
              </w:rPr>
              <w:t>from our own and others’ experiences to allocate the funding to the activities</w:t>
            </w:r>
            <w:r w:rsidR="00646A9B" w:rsidRPr="00646A9B">
              <w:rPr>
                <w:iCs/>
              </w:rPr>
              <w:t xml:space="preserve"> that are</w:t>
            </w:r>
            <w:r w:rsidRPr="00646A9B">
              <w:rPr>
                <w:iCs/>
              </w:rPr>
              <w:t xml:space="preserve"> most likely to have significant impact on improving achievement.</w:t>
            </w:r>
          </w:p>
          <w:p w14:paraId="6B7FD285" w14:textId="178BA57F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● Be very clear about the importance of ensuri</w:t>
            </w:r>
            <w:r w:rsidR="00646A9B" w:rsidRPr="00646A9B">
              <w:rPr>
                <w:iCs/>
              </w:rPr>
              <w:t xml:space="preserve">ng that all day-to-day teaching </w:t>
            </w:r>
            <w:r w:rsidRPr="00646A9B">
              <w:rPr>
                <w:iCs/>
              </w:rPr>
              <w:t xml:space="preserve">meets the needs of each child, rather than relying </w:t>
            </w:r>
            <w:r w:rsidR="00646A9B" w:rsidRPr="00646A9B">
              <w:rPr>
                <w:iCs/>
              </w:rPr>
              <w:t xml:space="preserve">on interventions. Quality First </w:t>
            </w:r>
            <w:r w:rsidRPr="00646A9B">
              <w:rPr>
                <w:iCs/>
              </w:rPr>
              <w:t>Teaching is paramount.</w:t>
            </w:r>
          </w:p>
          <w:p w14:paraId="21BC226B" w14:textId="77777777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● Review interventions and strategies to ensure they are meeting the needs of the</w:t>
            </w:r>
          </w:p>
          <w:p w14:paraId="498129AE" w14:textId="77777777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children and are in their best interests and make adjustments accordingly.</w:t>
            </w:r>
          </w:p>
          <w:p w14:paraId="0DAEC0E8" w14:textId="77777777" w:rsidR="006E60F6" w:rsidRDefault="00E47956" w:rsidP="00646A9B">
            <w:pPr>
              <w:spacing w:after="0"/>
              <w:rPr>
                <w:iCs/>
              </w:rPr>
            </w:pPr>
            <w:r w:rsidRPr="00E47956">
              <w:rPr>
                <w:i/>
                <w:iCs/>
              </w:rPr>
              <w:t xml:space="preserve">● </w:t>
            </w:r>
            <w:r w:rsidRPr="00646A9B">
              <w:rPr>
                <w:iCs/>
              </w:rPr>
              <w:t>Make sure that support staff, particularly teaching</w:t>
            </w:r>
            <w:r w:rsidR="00646A9B" w:rsidRPr="00646A9B">
              <w:rPr>
                <w:iCs/>
              </w:rPr>
              <w:t xml:space="preserve"> assistants, are highly trained </w:t>
            </w:r>
            <w:r w:rsidRPr="00646A9B">
              <w:rPr>
                <w:iCs/>
              </w:rPr>
              <w:t xml:space="preserve">and understand their role </w:t>
            </w:r>
            <w:r w:rsidR="00646A9B">
              <w:rPr>
                <w:iCs/>
              </w:rPr>
              <w:t>in helping children to achieve.</w:t>
            </w:r>
          </w:p>
          <w:p w14:paraId="1071496F" w14:textId="2DE3706A" w:rsidR="00E47956" w:rsidRPr="00646A9B" w:rsidRDefault="006E60F6" w:rsidP="00646A9B">
            <w:pPr>
              <w:spacing w:after="0"/>
              <w:rPr>
                <w:iCs/>
              </w:rPr>
            </w:pPr>
            <w:r w:rsidRPr="00E47956">
              <w:rPr>
                <w:i/>
                <w:iCs/>
              </w:rPr>
              <w:t>●</w:t>
            </w:r>
            <w:r>
              <w:rPr>
                <w:i/>
                <w:iCs/>
              </w:rPr>
              <w:t xml:space="preserve"> </w:t>
            </w:r>
            <w:r w:rsidR="00E47956" w:rsidRPr="00646A9B">
              <w:rPr>
                <w:iCs/>
              </w:rPr>
              <w:t>Target funding to ensure that all children have ac</w:t>
            </w:r>
            <w:r w:rsidR="00646A9B" w:rsidRPr="00646A9B">
              <w:rPr>
                <w:iCs/>
              </w:rPr>
              <w:t xml:space="preserve">cess to trips, </w:t>
            </w:r>
            <w:r w:rsidR="00646A9B">
              <w:rPr>
                <w:iCs/>
              </w:rPr>
              <w:t xml:space="preserve">including residential trips </w:t>
            </w:r>
            <w:r w:rsidR="00646A9B" w:rsidRPr="00646A9B">
              <w:rPr>
                <w:iCs/>
              </w:rPr>
              <w:t xml:space="preserve">and first hand learning experiences, improving Cultural Capital for all. </w:t>
            </w:r>
          </w:p>
          <w:p w14:paraId="52097EFD" w14:textId="4DE201E1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● Provide appropriate nurture support</w:t>
            </w:r>
            <w:r w:rsidR="00646A9B" w:rsidRPr="00646A9B">
              <w:rPr>
                <w:iCs/>
              </w:rPr>
              <w:t xml:space="preserve"> across the curriculum</w:t>
            </w:r>
            <w:r w:rsidRPr="00646A9B">
              <w:rPr>
                <w:iCs/>
              </w:rPr>
              <w:t xml:space="preserve"> to enable children to access learning withi</w:t>
            </w:r>
            <w:r w:rsidR="00646A9B" w:rsidRPr="00646A9B">
              <w:rPr>
                <w:iCs/>
              </w:rPr>
              <w:t xml:space="preserve">n </w:t>
            </w:r>
            <w:r w:rsidRPr="00646A9B">
              <w:rPr>
                <w:iCs/>
              </w:rPr>
              <w:t>and beyond the classroom.</w:t>
            </w:r>
          </w:p>
          <w:p w14:paraId="5F96E8F1" w14:textId="28463FAC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 xml:space="preserve">● Ensure that the Senior Leadership Team </w:t>
            </w:r>
            <w:r w:rsidR="00646A9B" w:rsidRPr="00646A9B">
              <w:rPr>
                <w:iCs/>
              </w:rPr>
              <w:t xml:space="preserve">has a clear overview of how the </w:t>
            </w:r>
            <w:r w:rsidRPr="00646A9B">
              <w:rPr>
                <w:iCs/>
              </w:rPr>
              <w:t>funding is being allocated and the difference i</w:t>
            </w:r>
            <w:r w:rsidR="00646A9B" w:rsidRPr="00646A9B">
              <w:rPr>
                <w:iCs/>
              </w:rPr>
              <w:t xml:space="preserve">t is making to the outcomes for </w:t>
            </w:r>
            <w:r w:rsidRPr="00646A9B">
              <w:rPr>
                <w:iCs/>
              </w:rPr>
              <w:t>children.</w:t>
            </w:r>
          </w:p>
          <w:p w14:paraId="2516F0CE" w14:textId="34B65F76" w:rsidR="00E47956" w:rsidRPr="00646A9B" w:rsidRDefault="00E47956" w:rsidP="00646A9B">
            <w:pPr>
              <w:spacing w:after="0"/>
              <w:rPr>
                <w:iCs/>
              </w:rPr>
            </w:pPr>
            <w:r w:rsidRPr="00646A9B">
              <w:rPr>
                <w:iCs/>
              </w:rPr>
              <w:t>● Have a clear understanding on spending the Pupil Premium, agreed</w:t>
            </w:r>
            <w:r w:rsidR="00646A9B" w:rsidRPr="00646A9B">
              <w:rPr>
                <w:iCs/>
              </w:rPr>
              <w:t xml:space="preserve"> by </w:t>
            </w:r>
            <w:r w:rsidRPr="00646A9B">
              <w:rPr>
                <w:iCs/>
              </w:rPr>
              <w:t>governors</w:t>
            </w:r>
            <w:r w:rsidR="00646A9B">
              <w:rPr>
                <w:iCs/>
              </w:rPr>
              <w:t xml:space="preserve"> and publicised on our website.</w:t>
            </w:r>
          </w:p>
          <w:p w14:paraId="157127B0" w14:textId="0E9B44CE" w:rsidR="00E47956" w:rsidRPr="00E47956" w:rsidRDefault="00E47956" w:rsidP="00646A9B">
            <w:pPr>
              <w:spacing w:after="0"/>
              <w:jc w:val="both"/>
              <w:rPr>
                <w:i/>
                <w:iCs/>
              </w:rPr>
            </w:pPr>
            <w:r w:rsidRPr="00E47956">
              <w:rPr>
                <w:i/>
                <w:iCs/>
              </w:rPr>
              <w:t xml:space="preserve">● </w:t>
            </w:r>
            <w:r w:rsidRPr="00C34F73">
              <w:rPr>
                <w:iCs/>
              </w:rPr>
              <w:t>Are able, through careful monitoring and evalua</w:t>
            </w:r>
            <w:r w:rsidR="00646A9B" w:rsidRPr="00C34F73">
              <w:rPr>
                <w:iCs/>
              </w:rPr>
              <w:t xml:space="preserve">tion, to demonstrate the impact </w:t>
            </w:r>
            <w:r w:rsidRPr="00C34F73">
              <w:rPr>
                <w:iCs/>
              </w:rPr>
              <w:t>of each aspect of their spending on the outcomes for children.</w:t>
            </w:r>
          </w:p>
          <w:p w14:paraId="3D83FD06" w14:textId="49D540C2" w:rsidR="00E47956" w:rsidRPr="00E47956" w:rsidRDefault="00E47956" w:rsidP="00646A9B">
            <w:pPr>
              <w:spacing w:after="0"/>
              <w:jc w:val="both"/>
              <w:rPr>
                <w:i/>
                <w:iCs/>
              </w:rPr>
            </w:pPr>
          </w:p>
          <w:p w14:paraId="78DD671E" w14:textId="79FBEABB" w:rsidR="00E47956" w:rsidRPr="00646A9B" w:rsidRDefault="00E47956" w:rsidP="00646A9B">
            <w:pPr>
              <w:spacing w:after="0"/>
              <w:jc w:val="both"/>
              <w:rPr>
                <w:iCs/>
              </w:rPr>
            </w:pPr>
            <w:r w:rsidRPr="00646A9B">
              <w:rPr>
                <w:iCs/>
              </w:rPr>
              <w:lastRenderedPageBreak/>
              <w:t>● Ensure that personalised provision is in p</w:t>
            </w:r>
            <w:r w:rsidR="00646A9B" w:rsidRPr="00646A9B">
              <w:rPr>
                <w:iCs/>
              </w:rPr>
              <w:t xml:space="preserve">lace for children who are Pupil </w:t>
            </w:r>
            <w:r w:rsidRPr="00646A9B">
              <w:rPr>
                <w:iCs/>
              </w:rPr>
              <w:t xml:space="preserve">Premium-eligible and </w:t>
            </w:r>
            <w:r w:rsidR="006E60F6">
              <w:rPr>
                <w:iCs/>
              </w:rPr>
              <w:t xml:space="preserve">that they </w:t>
            </w:r>
            <w:r w:rsidRPr="00646A9B">
              <w:rPr>
                <w:iCs/>
              </w:rPr>
              <w:t>have their barriers for lear</w:t>
            </w:r>
            <w:r w:rsidR="00646A9B" w:rsidRPr="00646A9B">
              <w:rPr>
                <w:iCs/>
              </w:rPr>
              <w:t xml:space="preserve">ning identified and educational </w:t>
            </w:r>
            <w:r w:rsidRPr="00646A9B">
              <w:rPr>
                <w:iCs/>
              </w:rPr>
              <w:t>needs accurately assessed and met.</w:t>
            </w:r>
          </w:p>
          <w:p w14:paraId="51246F8E" w14:textId="059D94E5" w:rsidR="00E47956" w:rsidRPr="00646A9B" w:rsidRDefault="00E47956" w:rsidP="00646A9B">
            <w:pPr>
              <w:spacing w:after="0"/>
              <w:jc w:val="both"/>
              <w:rPr>
                <w:iCs/>
              </w:rPr>
            </w:pPr>
            <w:r w:rsidRPr="00646A9B">
              <w:rPr>
                <w:iCs/>
              </w:rPr>
              <w:t>● Utilise evidence (especially the Education E</w:t>
            </w:r>
            <w:r w:rsidR="00646A9B" w:rsidRPr="00646A9B">
              <w:rPr>
                <w:iCs/>
              </w:rPr>
              <w:t xml:space="preserve">ndowment Foundation Toolkit) to </w:t>
            </w:r>
            <w:r w:rsidRPr="00646A9B">
              <w:rPr>
                <w:iCs/>
              </w:rPr>
              <w:t>decide which strategies are likely to be most effec</w:t>
            </w:r>
            <w:r w:rsidR="00646A9B" w:rsidRPr="00646A9B">
              <w:rPr>
                <w:iCs/>
              </w:rPr>
              <w:t xml:space="preserve">tive in overcoming the barriers </w:t>
            </w:r>
            <w:r w:rsidRPr="00646A9B">
              <w:rPr>
                <w:iCs/>
              </w:rPr>
              <w:t>to learning.</w:t>
            </w:r>
          </w:p>
          <w:p w14:paraId="5F74F69A" w14:textId="32644456" w:rsidR="00E47956" w:rsidRPr="00646A9B" w:rsidRDefault="00E47956" w:rsidP="00646A9B">
            <w:pPr>
              <w:spacing w:after="0"/>
              <w:jc w:val="both"/>
              <w:rPr>
                <w:iCs/>
              </w:rPr>
            </w:pPr>
            <w:r w:rsidRPr="00646A9B">
              <w:rPr>
                <w:iCs/>
              </w:rPr>
              <w:t>● Have systems in place which carefully m</w:t>
            </w:r>
            <w:r w:rsidR="00646A9B" w:rsidRPr="00646A9B">
              <w:rPr>
                <w:iCs/>
              </w:rPr>
              <w:t xml:space="preserve">onitor, manage and support good </w:t>
            </w:r>
            <w:r w:rsidRPr="00646A9B">
              <w:rPr>
                <w:iCs/>
              </w:rPr>
              <w:t>behaviour and attendance for all our children. If po</w:t>
            </w:r>
            <w:r w:rsidR="00646A9B" w:rsidRPr="00646A9B">
              <w:rPr>
                <w:iCs/>
              </w:rPr>
              <w:t xml:space="preserve">or attendance is an issue, this </w:t>
            </w:r>
            <w:r w:rsidRPr="00646A9B">
              <w:rPr>
                <w:iCs/>
              </w:rPr>
              <w:t>is addressed as a priority.</w:t>
            </w:r>
          </w:p>
          <w:p w14:paraId="255D12B9" w14:textId="15B292B1" w:rsidR="00E47956" w:rsidRPr="00646A9B" w:rsidRDefault="00E47956" w:rsidP="00646A9B">
            <w:pPr>
              <w:spacing w:after="0"/>
              <w:jc w:val="both"/>
              <w:rPr>
                <w:iCs/>
              </w:rPr>
            </w:pPr>
            <w:r w:rsidRPr="00646A9B">
              <w:rPr>
                <w:iCs/>
              </w:rPr>
              <w:t>● Ensure every effort is made to engage and em</w:t>
            </w:r>
            <w:r w:rsidR="00646A9B" w:rsidRPr="00646A9B">
              <w:rPr>
                <w:iCs/>
              </w:rPr>
              <w:t xml:space="preserve">power parents and carers in the </w:t>
            </w:r>
            <w:r w:rsidRPr="00646A9B">
              <w:rPr>
                <w:iCs/>
              </w:rPr>
              <w:t>education and progress of their child.</w:t>
            </w:r>
          </w:p>
          <w:p w14:paraId="2A7D54E9" w14:textId="4C747395" w:rsidR="00E66558" w:rsidRPr="00646A9B" w:rsidRDefault="00E47956" w:rsidP="00646A9B">
            <w:pPr>
              <w:spacing w:after="0"/>
              <w:jc w:val="both"/>
              <w:rPr>
                <w:iCs/>
              </w:rPr>
            </w:pPr>
            <w:r w:rsidRPr="00646A9B">
              <w:rPr>
                <w:iCs/>
              </w:rPr>
              <w:t>● Aim to instil an enduring passion for learning in all our children by provi</w:t>
            </w:r>
            <w:r w:rsidR="00646A9B" w:rsidRPr="00646A9B">
              <w:rPr>
                <w:iCs/>
              </w:rPr>
              <w:t xml:space="preserve">ding a </w:t>
            </w:r>
            <w:r w:rsidRPr="00646A9B">
              <w:rPr>
                <w:iCs/>
              </w:rPr>
              <w:t>strong grounding in English and Mathematics</w:t>
            </w:r>
            <w:r w:rsidR="00646A9B" w:rsidRPr="00646A9B">
              <w:rPr>
                <w:iCs/>
              </w:rPr>
              <w:t xml:space="preserve"> and a broad base of skills and </w:t>
            </w:r>
            <w:r w:rsidRPr="00646A9B">
              <w:rPr>
                <w:iCs/>
              </w:rPr>
              <w:t>knowledge acquired across our rich and varied curriculum.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lastRenderedPageBreak/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276F4A58" w:rsidR="00E66558" w:rsidRPr="00646A9B" w:rsidRDefault="00E32F3D" w:rsidP="00E32F3D">
            <w:pPr>
              <w:pStyle w:val="TableRowCentered"/>
              <w:jc w:val="left"/>
            </w:pPr>
            <w:r>
              <w:rPr>
                <w:sz w:val="22"/>
                <w:szCs w:val="22"/>
              </w:rPr>
              <w:t xml:space="preserve">Aspirational expectations of children as part of QFT and Assessment processes.  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3FE543C" w:rsidR="00E66558" w:rsidRPr="00646A9B" w:rsidRDefault="00C540C5">
            <w:pPr>
              <w:pStyle w:val="TableRowCentered"/>
              <w:jc w:val="left"/>
              <w:rPr>
                <w:sz w:val="22"/>
                <w:szCs w:val="22"/>
              </w:rPr>
            </w:pPr>
            <w:r w:rsidRPr="00646A9B">
              <w:rPr>
                <w:iCs/>
                <w:sz w:val="22"/>
                <w:szCs w:val="22"/>
              </w:rPr>
              <w:t>Attendance, including punctuality. Particular focus on Persistent Absentees.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34C49686" w:rsidR="00E66558" w:rsidRPr="00646A9B" w:rsidRDefault="00091814" w:rsidP="00646A9B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16EB">
              <w:rPr>
                <w:sz w:val="22"/>
                <w:szCs w:val="22"/>
              </w:rPr>
              <w:t>7</w:t>
            </w:r>
            <w:r w:rsidR="00646A9B">
              <w:rPr>
                <w:sz w:val="22"/>
                <w:szCs w:val="22"/>
              </w:rPr>
              <w:t>% of children identified as Pupil Premium, also have at least one identified Special Educational Need/ Disability.</w:t>
            </w:r>
            <w:r w:rsidR="003E16EB">
              <w:rPr>
                <w:sz w:val="22"/>
                <w:szCs w:val="22"/>
              </w:rPr>
              <w:t xml:space="preserve"> (6%of Whole School) 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3A30F8E9" w:rsidR="00E66558" w:rsidRPr="006B200C" w:rsidRDefault="008F4BFA">
            <w:pPr>
              <w:pStyle w:val="TableRowCentered"/>
              <w:jc w:val="left"/>
              <w:rPr>
                <w:iCs/>
                <w:sz w:val="22"/>
                <w:highlight w:val="yellow"/>
              </w:rPr>
            </w:pPr>
            <w:r w:rsidRPr="008F4BFA">
              <w:rPr>
                <w:sz w:val="22"/>
                <w:szCs w:val="22"/>
              </w:rPr>
              <w:t>Children, Staff and Parents have a precise evaluation of each individual’s developmental abilities- short and long-term steps and how best to take them.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bookmarkStart w:id="14" w:name="_Toc443397160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3C9EF8E9" w:rsidR="00E66558" w:rsidRPr="00646A9B" w:rsidRDefault="00C540C5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Furthe</w:t>
            </w:r>
            <w:r w:rsidR="00E32F3D">
              <w:rPr>
                <w:iCs/>
                <w:sz w:val="22"/>
              </w:rPr>
              <w:t xml:space="preserve">r support for development of </w:t>
            </w:r>
            <w:r>
              <w:rPr>
                <w:iCs/>
                <w:sz w:val="22"/>
              </w:rPr>
              <w:t xml:space="preserve">social, emotional and mental health.  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C83A3CE" w:rsidR="00E66558" w:rsidRPr="00C34F73" w:rsidRDefault="00AA79A1" w:rsidP="003B0262">
            <w:pPr>
              <w:pStyle w:val="TableRow"/>
            </w:pPr>
            <w:r w:rsidRPr="00C34F73">
              <w:t xml:space="preserve">Ensure Key Stage 1 and 2 children make accelerated progress, closing the gap between their peers, as a result of aspirational expectations </w:t>
            </w:r>
            <w:r w:rsidR="003B0262" w:rsidRPr="00C34F73">
              <w:t xml:space="preserve">through the Mastery Curriculum in all core subjects but particularly Maths.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F3B3" w14:textId="42F8FE3F" w:rsidR="00E66558" w:rsidRPr="00C34F73" w:rsidRDefault="00AA79A1">
            <w:pPr>
              <w:pStyle w:val="TableRowCentered"/>
              <w:jc w:val="left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t xml:space="preserve">Children will achieve outcomes that are in-line with, or above, national average by the end of KS1 and KS2. </w:t>
            </w:r>
          </w:p>
          <w:p w14:paraId="653E7E24" w14:textId="77777777" w:rsidR="005073AE" w:rsidRPr="00C34F73" w:rsidRDefault="005073AE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2A0C550F" w14:textId="300ECDC6" w:rsidR="005073AE" w:rsidRPr="00C34F73" w:rsidRDefault="005073AE">
            <w:pPr>
              <w:pStyle w:val="TableRowCentered"/>
              <w:jc w:val="left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t>Children will be achieving in line with their peers in the top 20% of schools (FFT 20 targets).</w:t>
            </w:r>
          </w:p>
          <w:p w14:paraId="4CF82559" w14:textId="77777777" w:rsidR="00AA79A1" w:rsidRPr="00C34F73" w:rsidRDefault="00AA79A1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2A7D5505" w14:textId="449B8B7E" w:rsidR="00AA79A1" w:rsidRPr="00C34F73" w:rsidRDefault="00AA79A1" w:rsidP="003B0262">
            <w:pPr>
              <w:pStyle w:val="TableRowCentered"/>
              <w:jc w:val="left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t>Children will have made accelerate</w:t>
            </w:r>
            <w:r w:rsidR="006E60F6" w:rsidRPr="00C34F73">
              <w:rPr>
                <w:sz w:val="22"/>
                <w:szCs w:val="22"/>
              </w:rPr>
              <w:t>d</w:t>
            </w:r>
            <w:r w:rsidRPr="00C34F73">
              <w:rPr>
                <w:sz w:val="22"/>
                <w:szCs w:val="22"/>
              </w:rPr>
              <w:t xml:space="preserve"> progress</w:t>
            </w:r>
            <w:r w:rsidR="003B0262" w:rsidRPr="00C34F73">
              <w:rPr>
                <w:sz w:val="22"/>
                <w:szCs w:val="22"/>
              </w:rPr>
              <w:t>, in all core subjects but</w:t>
            </w:r>
            <w:r w:rsidR="005073AE" w:rsidRPr="00C34F73">
              <w:rPr>
                <w:sz w:val="22"/>
                <w:szCs w:val="22"/>
              </w:rPr>
              <w:t xml:space="preserve"> particularly in</w:t>
            </w:r>
            <w:r w:rsidR="003B0262" w:rsidRPr="00C34F73">
              <w:rPr>
                <w:sz w:val="22"/>
                <w:szCs w:val="22"/>
              </w:rPr>
              <w:t xml:space="preserve"> Maths.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47DC64E5" w:rsidR="00E66558" w:rsidRPr="00C34F73" w:rsidRDefault="00AA79A1">
            <w:pPr>
              <w:pStyle w:val="TableRow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lastRenderedPageBreak/>
              <w:t>Ensure p</w:t>
            </w:r>
            <w:r w:rsidR="00280AD8" w:rsidRPr="00C34F73">
              <w:rPr>
                <w:sz w:val="22"/>
                <w:szCs w:val="22"/>
              </w:rPr>
              <w:t xml:space="preserve">rovision allocated at either </w:t>
            </w:r>
            <w:r w:rsidRPr="00C34F73">
              <w:rPr>
                <w:sz w:val="22"/>
                <w:szCs w:val="22"/>
              </w:rPr>
              <w:t>a targeted or personalised level</w:t>
            </w:r>
            <w:r w:rsidR="005073AE" w:rsidRPr="00C34F73">
              <w:rPr>
                <w:sz w:val="22"/>
                <w:szCs w:val="22"/>
              </w:rPr>
              <w:t>,</w:t>
            </w:r>
            <w:r w:rsidRPr="00C34F73">
              <w:rPr>
                <w:sz w:val="22"/>
                <w:szCs w:val="22"/>
              </w:rPr>
              <w:t xml:space="preserve"> </w:t>
            </w:r>
            <w:r w:rsidR="003B0262" w:rsidRPr="00C34F73">
              <w:rPr>
                <w:sz w:val="22"/>
                <w:szCs w:val="22"/>
              </w:rPr>
              <w:t>particularly in Maths</w:t>
            </w:r>
            <w:r w:rsidR="005073AE" w:rsidRPr="00C34F73">
              <w:rPr>
                <w:sz w:val="22"/>
                <w:szCs w:val="22"/>
              </w:rPr>
              <w:t>,</w:t>
            </w:r>
            <w:r w:rsidR="003B0262" w:rsidRPr="00C34F73">
              <w:rPr>
                <w:sz w:val="22"/>
                <w:szCs w:val="22"/>
              </w:rPr>
              <w:t xml:space="preserve"> </w:t>
            </w:r>
            <w:r w:rsidRPr="00C34F73">
              <w:rPr>
                <w:sz w:val="22"/>
                <w:szCs w:val="22"/>
              </w:rPr>
              <w:t>via interventions adds value to the learning journey of children.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CC46" w14:textId="4042AA7B" w:rsidR="00E66558" w:rsidRPr="00C34F73" w:rsidRDefault="008F1729">
            <w:pPr>
              <w:pStyle w:val="TableRowCentered"/>
              <w:jc w:val="left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t xml:space="preserve">Clear identification processes established at whole school, group and individual level – ensuring the individual needs of children are met. </w:t>
            </w:r>
          </w:p>
          <w:p w14:paraId="2A7D5508" w14:textId="31980997" w:rsidR="003B0262" w:rsidRPr="00C34F73" w:rsidRDefault="003B0262">
            <w:pPr>
              <w:pStyle w:val="TableRowCentered"/>
              <w:jc w:val="left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t xml:space="preserve">Targeted interventions for Maths reasoning and problem solving identified to build on application of fluency and automaticity. 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3054FC79" w:rsidR="00E66558" w:rsidRPr="00C34F73" w:rsidRDefault="008F1729">
            <w:pPr>
              <w:pStyle w:val="TableRow"/>
              <w:rPr>
                <w:sz w:val="22"/>
                <w:szCs w:val="22"/>
              </w:rPr>
            </w:pPr>
            <w:r w:rsidRPr="00C34F73">
              <w:t>Support the social, emotional and mental health and wellbeing of children eligible for Pupil Premium; enabling them to become more engaged and resilient, independent and confident.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0BC8" w14:textId="1D922BDD" w:rsidR="008F1729" w:rsidRPr="008F4BFA" w:rsidRDefault="008F1729">
            <w:pPr>
              <w:pStyle w:val="TableRowCentered"/>
              <w:jc w:val="left"/>
              <w:rPr>
                <w:sz w:val="22"/>
                <w:szCs w:val="22"/>
              </w:rPr>
            </w:pPr>
            <w:r w:rsidRPr="008F4BFA">
              <w:rPr>
                <w:sz w:val="22"/>
                <w:szCs w:val="22"/>
              </w:rPr>
              <w:t xml:space="preserve">Children are able to positively build upon areas of development. </w:t>
            </w:r>
          </w:p>
          <w:p w14:paraId="0BA98C6A" w14:textId="6B58B2FD" w:rsidR="003B0262" w:rsidRPr="008F4BFA" w:rsidRDefault="003B0262">
            <w:pPr>
              <w:pStyle w:val="TableRowCentered"/>
              <w:jc w:val="left"/>
              <w:rPr>
                <w:sz w:val="22"/>
                <w:szCs w:val="22"/>
              </w:rPr>
            </w:pPr>
            <w:r w:rsidRPr="008F4BFA">
              <w:rPr>
                <w:sz w:val="22"/>
                <w:szCs w:val="22"/>
              </w:rPr>
              <w:t>Staff are able to use Metacognition strategies effectively, using the EEF Framework to inform practice.</w:t>
            </w:r>
          </w:p>
          <w:p w14:paraId="326FCBBD" w14:textId="02986A78" w:rsidR="008F1729" w:rsidRPr="008F4BFA" w:rsidRDefault="00BC0A69">
            <w:pPr>
              <w:pStyle w:val="TableRowCentered"/>
              <w:jc w:val="left"/>
              <w:rPr>
                <w:sz w:val="22"/>
                <w:szCs w:val="22"/>
              </w:rPr>
            </w:pPr>
            <w:r w:rsidRPr="008F4BFA">
              <w:rPr>
                <w:sz w:val="22"/>
                <w:szCs w:val="22"/>
              </w:rPr>
              <w:t>Targeted c</w:t>
            </w:r>
            <w:r w:rsidR="008F1729" w:rsidRPr="008F4BFA">
              <w:rPr>
                <w:sz w:val="22"/>
                <w:szCs w:val="22"/>
              </w:rPr>
              <w:t xml:space="preserve">hildren are able to access their learning in </w:t>
            </w:r>
            <w:r w:rsidR="003B0262" w:rsidRPr="008F4BFA">
              <w:rPr>
                <w:sz w:val="22"/>
                <w:szCs w:val="22"/>
              </w:rPr>
              <w:t>the classroom with their peers, us</w:t>
            </w:r>
            <w:r w:rsidR="005073AE" w:rsidRPr="008F4BFA">
              <w:rPr>
                <w:sz w:val="22"/>
                <w:szCs w:val="22"/>
              </w:rPr>
              <w:t>ing</w:t>
            </w:r>
            <w:r w:rsidR="003B0262" w:rsidRPr="008F4BFA">
              <w:rPr>
                <w:sz w:val="22"/>
                <w:szCs w:val="22"/>
              </w:rPr>
              <w:t xml:space="preserve"> Metacognition strategies.</w:t>
            </w:r>
          </w:p>
          <w:p w14:paraId="1560E99B" w14:textId="77777777" w:rsidR="00C41D4A" w:rsidRPr="008F4BFA" w:rsidRDefault="008F1729">
            <w:pPr>
              <w:pStyle w:val="TableRowCentered"/>
              <w:jc w:val="left"/>
              <w:rPr>
                <w:sz w:val="22"/>
                <w:szCs w:val="22"/>
              </w:rPr>
            </w:pPr>
            <w:r w:rsidRPr="008F4BFA">
              <w:rPr>
                <w:sz w:val="22"/>
                <w:szCs w:val="22"/>
              </w:rPr>
              <w:t xml:space="preserve">Children are prepared for transitions and able to successfully move to their “next steps.” </w:t>
            </w:r>
          </w:p>
          <w:p w14:paraId="2A7D550B" w14:textId="6F2C5703" w:rsidR="008F1729" w:rsidRPr="00C34F73" w:rsidRDefault="008F1729" w:rsidP="00B613B3">
            <w:pPr>
              <w:pStyle w:val="TableRowCentered"/>
              <w:jc w:val="left"/>
              <w:rPr>
                <w:sz w:val="22"/>
                <w:szCs w:val="22"/>
              </w:rPr>
            </w:pPr>
            <w:r w:rsidRPr="008F4BFA">
              <w:rPr>
                <w:sz w:val="22"/>
                <w:szCs w:val="22"/>
              </w:rPr>
              <w:t xml:space="preserve">Progress in their Boxall Profile scores. </w:t>
            </w:r>
            <w:r w:rsidR="00B613B3">
              <w:rPr>
                <w:sz w:val="22"/>
                <w:szCs w:val="22"/>
              </w:rPr>
              <w:t xml:space="preserve">Staff have a secure understanding of the Nurture Principles for families, resulting in excellent relationships and successes shared with all stakeholders. 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121A012A" w:rsidR="00E66558" w:rsidRPr="00C34F73" w:rsidRDefault="008F1729">
            <w:pPr>
              <w:pStyle w:val="TableRow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t xml:space="preserve">Support attendance and punctuality at school to ensure that children are able to access a full and engaging curriculum offer.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8FFB" w14:textId="65D7E073" w:rsidR="00E66558" w:rsidRPr="00C34F73" w:rsidRDefault="008F1729">
            <w:pPr>
              <w:pStyle w:val="TableRowCentered"/>
              <w:jc w:val="left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t>Attendance will be inl</w:t>
            </w:r>
            <w:r w:rsidR="00E82A4E" w:rsidRPr="00C34F73">
              <w:rPr>
                <w:sz w:val="22"/>
                <w:szCs w:val="22"/>
              </w:rPr>
              <w:t xml:space="preserve">ine, or above national average. </w:t>
            </w:r>
          </w:p>
          <w:p w14:paraId="2A7D550E" w14:textId="25026C3C" w:rsidR="008F1729" w:rsidRPr="00C34F73" w:rsidRDefault="00E82A4E" w:rsidP="00E82A4E">
            <w:pPr>
              <w:pStyle w:val="TableRowCentered"/>
              <w:jc w:val="left"/>
              <w:rPr>
                <w:sz w:val="22"/>
                <w:szCs w:val="22"/>
              </w:rPr>
            </w:pPr>
            <w:r w:rsidRPr="00C34F73">
              <w:rPr>
                <w:sz w:val="22"/>
                <w:szCs w:val="22"/>
              </w:rPr>
              <w:t>The number of persistent absentees will reduce, with a</w:t>
            </w:r>
            <w:r w:rsidR="008F1729" w:rsidRPr="00C34F73">
              <w:rPr>
                <w:sz w:val="22"/>
                <w:szCs w:val="22"/>
              </w:rPr>
              <w:t xml:space="preserve">ppropriate support identified and implemented on a needs basis – noting improved attendance and punctuality. </w:t>
            </w:r>
          </w:p>
        </w:tc>
      </w:tr>
    </w:tbl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5" w14:textId="751B4250" w:rsidR="00E66558" w:rsidRDefault="009D71E8" w:rsidP="00B85CDA">
      <w:pPr>
        <w:pStyle w:val="Heading3"/>
      </w:pPr>
      <w:r>
        <w:t>Teaching (for example, CPD, recruitment and retention)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5812"/>
        <w:gridCol w:w="1836"/>
      </w:tblGrid>
      <w:tr w:rsidR="00E66558" w14:paraId="2A7D5519" w14:textId="77777777" w:rsidTr="0099504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 w:rsidTr="0099504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5F74D6D1" w:rsidR="00E66558" w:rsidRPr="008B35D6" w:rsidRDefault="00E82A4E" w:rsidP="00E82A4E">
            <w:pPr>
              <w:pStyle w:val="TableRow"/>
              <w:rPr>
                <w:b/>
              </w:rPr>
            </w:pPr>
            <w:r>
              <w:rPr>
                <w:b/>
              </w:rPr>
              <w:t xml:space="preserve">Whole school approach </w:t>
            </w:r>
            <w:r w:rsidRPr="00C34F73">
              <w:rPr>
                <w:b/>
              </w:rPr>
              <w:t xml:space="preserve">to </w:t>
            </w:r>
            <w:r w:rsidR="008F1729" w:rsidRPr="00C34F73">
              <w:rPr>
                <w:b/>
              </w:rPr>
              <w:t xml:space="preserve">understanding </w:t>
            </w:r>
            <w:r w:rsidRPr="00C34F73">
              <w:rPr>
                <w:b/>
              </w:rPr>
              <w:t xml:space="preserve">and </w:t>
            </w:r>
            <w:r w:rsidR="002649A4" w:rsidRPr="00C34F73">
              <w:rPr>
                <w:b/>
              </w:rPr>
              <w:lastRenderedPageBreak/>
              <w:t>Implementing</w:t>
            </w:r>
            <w:r w:rsidR="008F1729" w:rsidRPr="00C34F73">
              <w:rPr>
                <w:b/>
              </w:rPr>
              <w:t xml:space="preserve"> </w:t>
            </w:r>
            <w:r w:rsidR="002649A4" w:rsidRPr="00C34F73">
              <w:rPr>
                <w:b/>
              </w:rPr>
              <w:t xml:space="preserve">the </w:t>
            </w:r>
            <w:r w:rsidRPr="00C34F73">
              <w:rPr>
                <w:b/>
              </w:rPr>
              <w:t>Maths Mastery</w:t>
            </w:r>
            <w:r w:rsidR="002649A4" w:rsidRPr="00C34F73">
              <w:rPr>
                <w:b/>
              </w:rPr>
              <w:t xml:space="preserve"> Curriculum</w:t>
            </w:r>
            <w:r w:rsidRPr="00C34F73">
              <w:rPr>
                <w:b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86AA" w14:textId="2D573322" w:rsidR="008F1729" w:rsidRDefault="008F1729">
            <w:pPr>
              <w:pStyle w:val="TableRowCentered"/>
              <w:jc w:val="left"/>
            </w:pPr>
            <w:r w:rsidRPr="00C34F73">
              <w:lastRenderedPageBreak/>
              <w:t xml:space="preserve">All staff </w:t>
            </w:r>
            <w:r w:rsidR="002649A4" w:rsidRPr="00C34F73">
              <w:t>will have a sound knowledge of Maths Mastery and implement the fundamental elements of Maths Mastery in their practice.</w:t>
            </w:r>
            <w:r w:rsidR="002649A4">
              <w:t xml:space="preserve"> </w:t>
            </w:r>
          </w:p>
          <w:p w14:paraId="22D3E640" w14:textId="1402F4B2" w:rsidR="00E66558" w:rsidRDefault="008F1729">
            <w:pPr>
              <w:pStyle w:val="TableRowCentered"/>
              <w:jc w:val="left"/>
            </w:pPr>
            <w:r>
              <w:t xml:space="preserve">Accelerated progress of Pupil Premium children is a responsibility for all staff. Staff will recognise their </w:t>
            </w:r>
            <w:r>
              <w:lastRenderedPageBreak/>
              <w:t>children’s specific needs and actively seek support and development where necessary to address them.</w:t>
            </w:r>
          </w:p>
          <w:p w14:paraId="507202A4" w14:textId="630D1887" w:rsidR="002649A4" w:rsidRDefault="002649A4">
            <w:pPr>
              <w:pStyle w:val="TableRowCentered"/>
              <w:jc w:val="left"/>
            </w:pPr>
            <w:r w:rsidRPr="00C34F73">
              <w:t xml:space="preserve">Through the Maths Mastery Approach </w:t>
            </w:r>
            <w:proofErr w:type="gramStart"/>
            <w:r w:rsidRPr="00C34F73">
              <w:t>further</w:t>
            </w:r>
            <w:proofErr w:type="gramEnd"/>
            <w:r w:rsidRPr="00C34F73">
              <w:t xml:space="preserve"> Maths interventions will be implemented to build on Maths Fluency, to further support Reasoning and Problem Solving</w:t>
            </w:r>
            <w:r>
              <w:t xml:space="preserve"> </w:t>
            </w:r>
          </w:p>
          <w:p w14:paraId="329E975C" w14:textId="394802B4" w:rsidR="00954687" w:rsidRDefault="00555EC0" w:rsidP="005073AE">
            <w:pPr>
              <w:pStyle w:val="TableRowCentered"/>
              <w:jc w:val="left"/>
            </w:pPr>
            <w:hyperlink r:id="rId7" w:history="1">
              <w:r w:rsidR="005073AE" w:rsidRPr="002161C7">
                <w:rPr>
                  <w:rStyle w:val="Hyperlink"/>
                </w:rPr>
                <w:t>https://www.ncetm.org.uk/maths-hubs/</w:t>
              </w:r>
            </w:hyperlink>
          </w:p>
          <w:p w14:paraId="1A9C8EBB" w14:textId="77777777" w:rsidR="005073AE" w:rsidRDefault="005073AE" w:rsidP="005073AE">
            <w:pPr>
              <w:pStyle w:val="TableRowCentered"/>
              <w:jc w:val="left"/>
            </w:pPr>
          </w:p>
          <w:p w14:paraId="72894502" w14:textId="25CBAD69" w:rsidR="005073AE" w:rsidRDefault="00555EC0" w:rsidP="005073AE">
            <w:pPr>
              <w:pStyle w:val="TableRowCentered"/>
              <w:jc w:val="left"/>
            </w:pPr>
            <w:hyperlink r:id="rId8" w:history="1">
              <w:r w:rsidR="005073AE" w:rsidRPr="002161C7">
                <w:rPr>
                  <w:rStyle w:val="Hyperlink"/>
                </w:rPr>
                <w:t>https://www.ncetm.org.uk/teaching-for-mastery/mastery-explained/supporting-research-evidence-and-argument/</w:t>
              </w:r>
            </w:hyperlink>
          </w:p>
          <w:p w14:paraId="5039F805" w14:textId="77777777" w:rsidR="005073AE" w:rsidRDefault="005073AE" w:rsidP="005073AE">
            <w:pPr>
              <w:pStyle w:val="TableRowCentered"/>
              <w:jc w:val="left"/>
            </w:pPr>
          </w:p>
          <w:p w14:paraId="2A7D551B" w14:textId="6620E01B" w:rsidR="005073AE" w:rsidRPr="005073AE" w:rsidRDefault="00555EC0" w:rsidP="005073AE">
            <w:pPr>
              <w:pStyle w:val="TableRowCentered"/>
              <w:jc w:val="left"/>
            </w:pPr>
            <w:hyperlink r:id="rId9" w:history="1">
              <w:r w:rsidR="00BB1B9A" w:rsidRPr="002036BE">
                <w:rPr>
                  <w:rStyle w:val="Hyperlink"/>
                </w:rPr>
                <w:t>https://enigmamathshub.co.uk/wp-content/uploads/2022/10/Rosenshine-and-TfM-Primary-1.pdf</w:t>
              </w:r>
            </w:hyperlink>
            <w:r w:rsidR="00BB1B9A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043AF431" w:rsidR="00E66558" w:rsidRDefault="008B35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1, 2, 3, 4, &amp; 5</w:t>
            </w:r>
          </w:p>
        </w:tc>
      </w:tr>
      <w:tr w:rsidR="00E66558" w14:paraId="2A7D5521" w14:textId="77777777" w:rsidTr="0099504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5D52203B" w:rsidR="00E66558" w:rsidRPr="008B35D6" w:rsidRDefault="008F1729" w:rsidP="002649A4">
            <w:pPr>
              <w:pStyle w:val="TableRow"/>
              <w:ind w:left="0"/>
              <w:rPr>
                <w:b/>
                <w:i/>
                <w:sz w:val="22"/>
              </w:rPr>
            </w:pPr>
            <w:r w:rsidRPr="008B35D6">
              <w:rPr>
                <w:b/>
              </w:rPr>
              <w:t xml:space="preserve">Nurture School Accreditation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3D52" w14:textId="06F72E12" w:rsidR="008F1729" w:rsidRDefault="008F1729">
            <w:pPr>
              <w:pStyle w:val="TableRowCentered"/>
              <w:jc w:val="left"/>
            </w:pPr>
            <w:r>
              <w:t xml:space="preserve">Nurture School UK – whole school curriculum has the Nurture Principles embedded meeting the academic needs of children, as well as their social and emotional needs. </w:t>
            </w:r>
          </w:p>
          <w:p w14:paraId="56F4E237" w14:textId="77777777" w:rsidR="008F1729" w:rsidRDefault="008F1729">
            <w:pPr>
              <w:pStyle w:val="TableRowCentered"/>
              <w:jc w:val="left"/>
            </w:pPr>
            <w:r>
              <w:t xml:space="preserve">Children are able to learn in a calm and nurturing environment. </w:t>
            </w:r>
          </w:p>
          <w:p w14:paraId="5E0CE1D4" w14:textId="77777777" w:rsidR="00E66558" w:rsidRDefault="008F1729">
            <w:pPr>
              <w:pStyle w:val="TableRowCentered"/>
              <w:jc w:val="left"/>
            </w:pPr>
            <w:r>
              <w:t>Children are clear with expectations and positive approaches to behaviour allow for children to address their areas of need with confidence.</w:t>
            </w:r>
          </w:p>
          <w:p w14:paraId="0729BEB1" w14:textId="77777777" w:rsidR="00954687" w:rsidRDefault="00555EC0">
            <w:pPr>
              <w:pStyle w:val="TableRowCentered"/>
              <w:jc w:val="left"/>
              <w:rPr>
                <w:sz w:val="22"/>
              </w:rPr>
            </w:pPr>
            <w:hyperlink r:id="rId10" w:history="1">
              <w:r w:rsidR="00954687" w:rsidRPr="003C5C0E">
                <w:rPr>
                  <w:rStyle w:val="Hyperlink"/>
                  <w:sz w:val="22"/>
                </w:rPr>
                <w:t>https://www.nurtureuk.org/research-evidence/international-journal-of-nurture-in-education/</w:t>
              </w:r>
            </w:hyperlink>
            <w:r w:rsidR="00954687">
              <w:rPr>
                <w:sz w:val="22"/>
              </w:rPr>
              <w:t xml:space="preserve"> </w:t>
            </w:r>
          </w:p>
          <w:p w14:paraId="5AE9D7A3" w14:textId="77777777" w:rsidR="00954687" w:rsidRDefault="00954687">
            <w:pPr>
              <w:pStyle w:val="TableRowCentered"/>
              <w:jc w:val="left"/>
              <w:rPr>
                <w:sz w:val="22"/>
              </w:rPr>
            </w:pPr>
          </w:p>
          <w:p w14:paraId="2A7D551F" w14:textId="3FDD2CE9" w:rsidR="00954687" w:rsidRDefault="00555EC0">
            <w:pPr>
              <w:pStyle w:val="TableRowCentered"/>
              <w:jc w:val="left"/>
              <w:rPr>
                <w:sz w:val="22"/>
              </w:rPr>
            </w:pPr>
            <w:hyperlink r:id="rId11" w:history="1">
              <w:r w:rsidR="00954687" w:rsidRPr="003C5C0E">
                <w:rPr>
                  <w:rStyle w:val="Hyperlink"/>
                  <w:sz w:val="22"/>
                </w:rPr>
                <w:t>https://educationendowmentfoundation.org.uk/public/files/Publications/SEL/EEF_Social_and_Emotional_Learning.pdf</w:t>
              </w:r>
            </w:hyperlink>
            <w:r w:rsidR="00954687">
              <w:rPr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AFEBE59" w:rsidR="00E66558" w:rsidRDefault="008B35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3, 4, &amp; 5</w:t>
            </w:r>
          </w:p>
        </w:tc>
      </w:tr>
      <w:tr w:rsidR="00EE38AE" w14:paraId="4DC7D1F4" w14:textId="77777777" w:rsidTr="0099504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D266" w14:textId="1D3B4483" w:rsidR="00EE38AE" w:rsidRPr="008B35D6" w:rsidRDefault="008B35D6" w:rsidP="008F1729">
            <w:pPr>
              <w:pStyle w:val="TableRow"/>
              <w:ind w:left="0"/>
              <w:rPr>
                <w:b/>
              </w:rPr>
            </w:pPr>
            <w:r w:rsidRPr="008B35D6">
              <w:rPr>
                <w:b/>
              </w:rPr>
              <w:t xml:space="preserve">Recruitment of FLO/ Attendance and Admissions Officer to support children with attendance and pastoral needs.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FC9E" w14:textId="77777777" w:rsidR="00995047" w:rsidRDefault="00995047" w:rsidP="00995047">
            <w:pPr>
              <w:pStyle w:val="TableRowCentered"/>
              <w:jc w:val="left"/>
            </w:pPr>
            <w:r>
              <w:t xml:space="preserve">Pupil Premium children’s attendance and punctuality in line with national average or above. Children in receipt of pupil premium are able to be in school on time ready for learning. </w:t>
            </w:r>
          </w:p>
          <w:p w14:paraId="3FB093A6" w14:textId="47FEF64B" w:rsidR="00954687" w:rsidRDefault="00954687">
            <w:pPr>
              <w:pStyle w:val="TableRowCentered"/>
              <w:jc w:val="left"/>
            </w:pPr>
          </w:p>
          <w:p w14:paraId="1B3B7DDB" w14:textId="3B94263A" w:rsidR="00995047" w:rsidRDefault="00995047">
            <w:pPr>
              <w:pStyle w:val="TableRowCentered"/>
              <w:jc w:val="left"/>
            </w:pPr>
            <w:r>
              <w:t xml:space="preserve">Reduce </w:t>
            </w:r>
            <w:r w:rsidR="002649A4">
              <w:t>number of persistent absentees.</w:t>
            </w:r>
          </w:p>
          <w:p w14:paraId="3D8B6280" w14:textId="71B2E4CE" w:rsidR="002649A4" w:rsidRDefault="002649A4">
            <w:pPr>
              <w:pStyle w:val="TableRowCentered"/>
              <w:jc w:val="left"/>
            </w:pPr>
          </w:p>
          <w:p w14:paraId="25F2A5C7" w14:textId="5721E389" w:rsidR="00954687" w:rsidRDefault="002649A4" w:rsidP="002649A4">
            <w:pPr>
              <w:pStyle w:val="TableRowCentered"/>
              <w:jc w:val="left"/>
            </w:pPr>
            <w:r w:rsidRPr="00C34F73">
              <w:t>Accelerated progress of pupils with both an identified need as Pupil Premium, as well as SEND.</w:t>
            </w:r>
            <w:r>
              <w:t xml:space="preserve"> </w:t>
            </w:r>
          </w:p>
          <w:p w14:paraId="6726D944" w14:textId="77777777" w:rsidR="00954687" w:rsidRPr="00954687" w:rsidRDefault="00555EC0" w:rsidP="00954687">
            <w:pPr>
              <w:pStyle w:val="TableRowCentered"/>
              <w:jc w:val="left"/>
              <w:rPr>
                <w:sz w:val="18"/>
                <w:szCs w:val="18"/>
              </w:rPr>
            </w:pPr>
            <w:hyperlink r:id="rId12" w:history="1">
              <w:r w:rsidR="00954687" w:rsidRPr="00954687">
                <w:rPr>
                  <w:rStyle w:val="Hyperlink"/>
                  <w:sz w:val="18"/>
                  <w:szCs w:val="18"/>
                </w:rPr>
                <w:t>https://educationendowmentfoundation.org.uk/education-evidence/teaching-learning-toolkit/parental-engagement</w:t>
              </w:r>
            </w:hyperlink>
            <w:r w:rsidR="00954687" w:rsidRPr="00954687">
              <w:rPr>
                <w:sz w:val="18"/>
                <w:szCs w:val="18"/>
              </w:rPr>
              <w:t xml:space="preserve"> </w:t>
            </w:r>
          </w:p>
          <w:p w14:paraId="5869F040" w14:textId="77777777" w:rsidR="00954687" w:rsidRPr="00954687" w:rsidRDefault="00954687" w:rsidP="00954687">
            <w:pPr>
              <w:pStyle w:val="TableRowCentered"/>
              <w:jc w:val="left"/>
              <w:rPr>
                <w:sz w:val="18"/>
                <w:szCs w:val="18"/>
              </w:rPr>
            </w:pPr>
          </w:p>
          <w:p w14:paraId="7332AC53" w14:textId="77777777" w:rsidR="00954687" w:rsidRPr="00954687" w:rsidRDefault="00555EC0" w:rsidP="00954687">
            <w:pPr>
              <w:pStyle w:val="TableRowCentered"/>
              <w:jc w:val="left"/>
              <w:rPr>
                <w:sz w:val="18"/>
                <w:szCs w:val="18"/>
              </w:rPr>
            </w:pPr>
            <w:hyperlink r:id="rId13" w:history="1">
              <w:r w:rsidR="00954687" w:rsidRPr="00954687">
                <w:rPr>
                  <w:rStyle w:val="Hyperlink"/>
                  <w:sz w:val="18"/>
                  <w:szCs w:val="18"/>
                </w:rPr>
                <w:t>https://educationendowmentfoundation.org.uk/education-evidence/guidance-reports/supporting-parents</w:t>
              </w:r>
            </w:hyperlink>
            <w:r w:rsidR="00954687" w:rsidRPr="00954687">
              <w:rPr>
                <w:sz w:val="18"/>
                <w:szCs w:val="18"/>
              </w:rPr>
              <w:t xml:space="preserve"> </w:t>
            </w:r>
          </w:p>
          <w:p w14:paraId="073186BF" w14:textId="370A6C89" w:rsidR="00954687" w:rsidRDefault="00954687">
            <w:pPr>
              <w:pStyle w:val="TableRowCentered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1240" w14:textId="30D53ECD" w:rsidR="00EE38AE" w:rsidRDefault="008B35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 3, 4, &amp; 5</w:t>
            </w:r>
          </w:p>
        </w:tc>
      </w:tr>
      <w:tr w:rsidR="002F1BD4" w14:paraId="5535F8E2" w14:textId="77777777" w:rsidTr="0099504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169F" w14:textId="3160BAF3" w:rsidR="002F1BD4" w:rsidRPr="008B35D6" w:rsidRDefault="002F1BD4" w:rsidP="008F1729">
            <w:pPr>
              <w:pStyle w:val="TableRow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Cultural Capital – life experiences and purposeful learning.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D91" w14:textId="77777777" w:rsidR="002F1BD4" w:rsidRDefault="002F1BD4">
            <w:pPr>
              <w:pStyle w:val="TableRowCentered"/>
              <w:jc w:val="left"/>
            </w:pPr>
            <w:r>
              <w:t xml:space="preserve">Whole school Curriculum plan for trip and life experiences. </w:t>
            </w:r>
          </w:p>
          <w:p w14:paraId="055408BD" w14:textId="77777777" w:rsidR="002F1BD4" w:rsidRDefault="002F1BD4" w:rsidP="002649A4">
            <w:pPr>
              <w:pStyle w:val="TableRowCentered"/>
              <w:jc w:val="left"/>
            </w:pPr>
            <w:r>
              <w:t>All children have greater opportunities to eng</w:t>
            </w:r>
            <w:r w:rsidR="00BC0A69">
              <w:t>age in meaningful learning that makes links</w:t>
            </w:r>
            <w:r>
              <w:t xml:space="preserve"> to real life experiences within their local community and wider. </w:t>
            </w:r>
          </w:p>
          <w:p w14:paraId="0B51B50C" w14:textId="1901D10F" w:rsidR="002649A4" w:rsidRDefault="002649A4" w:rsidP="002649A4">
            <w:pPr>
              <w:pStyle w:val="TableRowCentered"/>
              <w:jc w:val="left"/>
            </w:pPr>
            <w:r w:rsidRPr="00C34F73">
              <w:t>Children have greater opportunities to develop their life skills, in all aspects of life through enrichment activities offered by the school.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3465" w14:textId="1DB58505" w:rsidR="002F1BD4" w:rsidRDefault="002F1BD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4 &amp; 5.</w:t>
            </w:r>
          </w:p>
        </w:tc>
      </w:tr>
    </w:tbl>
    <w:p w14:paraId="2A7D5522" w14:textId="49F90B55" w:rsidR="00E66558" w:rsidRDefault="00E66558" w:rsidP="00ED5108"/>
    <w:p w14:paraId="2A7D5524" w14:textId="3E5ADBA1" w:rsidR="00E66558" w:rsidRDefault="009D71E8" w:rsidP="00B85CDA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7"/>
        <w:gridCol w:w="6775"/>
        <w:gridCol w:w="1214"/>
      </w:tblGrid>
      <w:tr w:rsidR="00E66558" w14:paraId="2A7D5528" w14:textId="77777777" w:rsidTr="0099504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1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 w:rsidTr="0099504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43A2BF27" w:rsidR="00E66558" w:rsidRPr="005C4299" w:rsidRDefault="002F1BD4">
            <w:pPr>
              <w:pStyle w:val="TableRow"/>
              <w:rPr>
                <w:b/>
              </w:rPr>
            </w:pPr>
            <w:r w:rsidRPr="005C4299">
              <w:rPr>
                <w:b/>
              </w:rPr>
              <w:t xml:space="preserve">Small Group and one to one interventions, including tutoring </w:t>
            </w:r>
          </w:p>
        </w:tc>
        <w:tc>
          <w:tcPr>
            <w:tcW w:w="1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E6BB" w14:textId="556729BB" w:rsidR="008462B1" w:rsidRDefault="002F1BD4" w:rsidP="008462B1">
            <w:pPr>
              <w:pStyle w:val="TableRowCentered"/>
              <w:jc w:val="left"/>
            </w:pPr>
            <w:r>
              <w:t xml:space="preserve">Accelerated progress from the child’s starting points. </w:t>
            </w:r>
            <w:r w:rsidR="008462B1">
              <w:t xml:space="preserve">Termly tracking and monitoring of targeted academic support. </w:t>
            </w:r>
          </w:p>
          <w:p w14:paraId="697FC68B" w14:textId="4CBCC6A5" w:rsidR="00E66558" w:rsidRDefault="002F1BD4">
            <w:pPr>
              <w:pStyle w:val="TableRowCentered"/>
              <w:jc w:val="left"/>
            </w:pPr>
            <w:r>
              <w:t>Greater autonomy and confidence in learning moving forward.</w:t>
            </w:r>
          </w:p>
          <w:p w14:paraId="648BFCBD" w14:textId="4B777C37" w:rsidR="008462B1" w:rsidRDefault="008462B1">
            <w:pPr>
              <w:pStyle w:val="TableRowCentered"/>
              <w:jc w:val="left"/>
              <w:rPr>
                <w:sz w:val="22"/>
              </w:rPr>
            </w:pPr>
          </w:p>
          <w:p w14:paraId="41E520E6" w14:textId="2F643956" w:rsidR="002649A4" w:rsidRDefault="002649A4">
            <w:pPr>
              <w:pStyle w:val="TableRowCentered"/>
              <w:jc w:val="left"/>
              <w:rPr>
                <w:sz w:val="22"/>
              </w:rPr>
            </w:pPr>
            <w:r w:rsidRPr="00C34F73">
              <w:rPr>
                <w:sz w:val="22"/>
              </w:rPr>
              <w:t>Greater access to a wider range of Maths interventions to further support the application of fluency.</w:t>
            </w:r>
            <w:r>
              <w:rPr>
                <w:sz w:val="22"/>
              </w:rPr>
              <w:t xml:space="preserve"> </w:t>
            </w:r>
          </w:p>
          <w:p w14:paraId="35C31B11" w14:textId="77777777" w:rsidR="00954687" w:rsidRDefault="00555EC0">
            <w:pPr>
              <w:pStyle w:val="TableRowCentered"/>
              <w:jc w:val="left"/>
              <w:rPr>
                <w:sz w:val="22"/>
              </w:rPr>
            </w:pPr>
            <w:hyperlink r:id="rId14" w:history="1">
              <w:r w:rsidR="00954687" w:rsidRPr="003C5C0E">
                <w:rPr>
                  <w:rStyle w:val="Hyperlink"/>
                  <w:sz w:val="22"/>
                </w:rPr>
                <w:t>https://educationendowmentfoundation.org.uk/guidance-for-teachers/using-pupil-premium</w:t>
              </w:r>
            </w:hyperlink>
            <w:r w:rsidR="00954687">
              <w:rPr>
                <w:sz w:val="22"/>
              </w:rPr>
              <w:t xml:space="preserve"> </w:t>
            </w:r>
          </w:p>
          <w:p w14:paraId="1E5236D2" w14:textId="77777777" w:rsidR="00674394" w:rsidRDefault="00674394">
            <w:pPr>
              <w:pStyle w:val="TableRowCentered"/>
              <w:jc w:val="left"/>
              <w:rPr>
                <w:sz w:val="22"/>
              </w:rPr>
            </w:pPr>
          </w:p>
          <w:p w14:paraId="2A7D552A" w14:textId="51582E80" w:rsidR="00674394" w:rsidRDefault="00555EC0">
            <w:pPr>
              <w:pStyle w:val="TableRowCentered"/>
              <w:jc w:val="left"/>
              <w:rPr>
                <w:sz w:val="22"/>
              </w:rPr>
            </w:pPr>
            <w:hyperlink r:id="rId15" w:history="1">
              <w:r w:rsidR="00674394" w:rsidRPr="003C5C0E">
                <w:rPr>
                  <w:rStyle w:val="Hyperlink"/>
                  <w:sz w:val="22"/>
                </w:rPr>
                <w:t>https://educationendowmentfoundation.org.uk/education-evidence/teaching-learning-toolkit/small-group-tuition?utm_source=/education-evidence/teaching-learning-toolkit/small-group-tuition&amp;utm_medium=search&amp;utm_campaign=site_search&amp;search_term=small%20grou</w:t>
              </w:r>
            </w:hyperlink>
            <w:r w:rsidR="00674394">
              <w:rPr>
                <w:sz w:val="22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2541508" w:rsidR="00E66558" w:rsidRDefault="002F1BD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</w:t>
            </w:r>
            <w:r w:rsidR="008462B1">
              <w:rPr>
                <w:sz w:val="22"/>
              </w:rPr>
              <w:t xml:space="preserve">2, </w:t>
            </w:r>
            <w:r>
              <w:rPr>
                <w:sz w:val="22"/>
              </w:rPr>
              <w:t>3 &amp; 5</w:t>
            </w:r>
          </w:p>
        </w:tc>
      </w:tr>
    </w:tbl>
    <w:p w14:paraId="2A7D5531" w14:textId="77777777" w:rsidR="00E66558" w:rsidRDefault="00E66558" w:rsidP="00AA355B"/>
    <w:p w14:paraId="2A7D5533" w14:textId="08588583" w:rsidR="00E66558" w:rsidRDefault="009D71E8" w:rsidP="009500BE">
      <w:pPr>
        <w:pStyle w:val="Heading3"/>
      </w:pPr>
      <w:r>
        <w:t>Wider strategies (for example, related to attendance, behaviour, wellbeing)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952"/>
        <w:gridCol w:w="1554"/>
      </w:tblGrid>
      <w:tr w:rsidR="005C4299" w14:paraId="2A7D5537" w14:textId="77777777" w:rsidTr="00674394"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Pr="005C4299" w:rsidRDefault="009D71E8">
            <w:pPr>
              <w:pStyle w:val="TableHeader"/>
              <w:jc w:val="left"/>
            </w:pPr>
            <w:r w:rsidRPr="005C4299">
              <w:t>Activity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Pr="005C4299" w:rsidRDefault="009D71E8">
            <w:pPr>
              <w:pStyle w:val="TableHeader"/>
              <w:jc w:val="left"/>
            </w:pPr>
            <w:r w:rsidRPr="005C4299">
              <w:t>Evidence that supports this approach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Pr="005C4299" w:rsidRDefault="009D71E8">
            <w:pPr>
              <w:pStyle w:val="TableHeader"/>
              <w:jc w:val="left"/>
            </w:pPr>
            <w:r w:rsidRPr="005C4299">
              <w:t>Challenge number(s) addressed</w:t>
            </w:r>
          </w:p>
        </w:tc>
      </w:tr>
      <w:tr w:rsidR="00674394" w14:paraId="2A7D553B" w14:textId="77777777" w:rsidTr="00674394"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6ED0F82B" w:rsidR="00E66558" w:rsidRPr="00E535BE" w:rsidRDefault="008B35D6">
            <w:pPr>
              <w:pStyle w:val="TableRow"/>
              <w:rPr>
                <w:b/>
              </w:rPr>
            </w:pPr>
            <w:r w:rsidRPr="00E535BE">
              <w:rPr>
                <w:b/>
              </w:rPr>
              <w:t xml:space="preserve">Allocation of FLO and Attendance and Admissions </w:t>
            </w:r>
            <w:r w:rsidRPr="00E535BE">
              <w:rPr>
                <w:b/>
              </w:rPr>
              <w:lastRenderedPageBreak/>
              <w:t>Officer  time specific to Pupil Premium attendance including punctuality.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67FA" w14:textId="77777777" w:rsidR="00E66558" w:rsidRDefault="008B35D6">
            <w:pPr>
              <w:pStyle w:val="TableRowCentered"/>
              <w:jc w:val="left"/>
            </w:pPr>
            <w:r>
              <w:lastRenderedPageBreak/>
              <w:t>Pupil Premium children’s attendance and punctuality in line with national average or above. Children in receipt of pupil premium are able to be</w:t>
            </w:r>
            <w:r w:rsidR="00E535BE">
              <w:t xml:space="preserve"> in school on time ready for learning. </w:t>
            </w:r>
          </w:p>
          <w:p w14:paraId="4A7B2F16" w14:textId="77777777" w:rsidR="00E535BE" w:rsidRDefault="00E535BE">
            <w:pPr>
              <w:pStyle w:val="TableRowCentered"/>
              <w:jc w:val="left"/>
            </w:pPr>
            <w:r>
              <w:lastRenderedPageBreak/>
              <w:t>Breakfast club established to support attendance and ensure children regularly have breakfast (where appropriate).</w:t>
            </w:r>
          </w:p>
          <w:p w14:paraId="17EC3939" w14:textId="05916D05" w:rsidR="00954687" w:rsidRDefault="00954687" w:rsidP="005C4299">
            <w:pPr>
              <w:pStyle w:val="TableRowCentered"/>
              <w:ind w:left="0"/>
              <w:jc w:val="left"/>
              <w:rPr>
                <w:sz w:val="20"/>
              </w:rPr>
            </w:pPr>
          </w:p>
          <w:p w14:paraId="37100E2B" w14:textId="15BC6E09" w:rsidR="005C4299" w:rsidRDefault="00555EC0" w:rsidP="005C4299">
            <w:pPr>
              <w:pStyle w:val="TableRowCentered"/>
              <w:ind w:left="0"/>
              <w:jc w:val="left"/>
              <w:rPr>
                <w:sz w:val="20"/>
              </w:rPr>
            </w:pPr>
            <w:hyperlink r:id="rId16" w:history="1">
              <w:r w:rsidR="005C4299" w:rsidRPr="003C5C0E">
                <w:rPr>
                  <w:rStyle w:val="Hyperlink"/>
                  <w:sz w:val="20"/>
                </w:rPr>
                <w:t>https://educationendowmentfoundation.org.uk/education-evidence/teaching-learning-toolkit/parental-engagement</w:t>
              </w:r>
            </w:hyperlink>
            <w:r w:rsidR="005C4299">
              <w:rPr>
                <w:sz w:val="20"/>
              </w:rPr>
              <w:t xml:space="preserve"> </w:t>
            </w:r>
          </w:p>
          <w:p w14:paraId="78D5FC26" w14:textId="62E4DABC" w:rsidR="005C4299" w:rsidRDefault="005C4299" w:rsidP="005C4299">
            <w:pPr>
              <w:pStyle w:val="TableRowCentered"/>
              <w:ind w:left="0"/>
              <w:jc w:val="left"/>
              <w:rPr>
                <w:sz w:val="20"/>
              </w:rPr>
            </w:pPr>
          </w:p>
          <w:p w14:paraId="123494FF" w14:textId="5F7C43A7" w:rsidR="005C4299" w:rsidRDefault="00555EC0" w:rsidP="005C4299">
            <w:pPr>
              <w:pStyle w:val="TableRowCentered"/>
              <w:ind w:left="0"/>
              <w:jc w:val="left"/>
              <w:rPr>
                <w:sz w:val="22"/>
              </w:rPr>
            </w:pPr>
            <w:hyperlink r:id="rId17" w:history="1">
              <w:r w:rsidR="005C4299" w:rsidRPr="003C5C0E">
                <w:rPr>
                  <w:rStyle w:val="Hyperlink"/>
                  <w:sz w:val="22"/>
                </w:rPr>
                <w:t>https://educationendowmentfoundation.org.uk/education-evidence/guidance-reports/supporting-parents</w:t>
              </w:r>
            </w:hyperlink>
            <w:r w:rsidR="005C4299">
              <w:rPr>
                <w:sz w:val="22"/>
              </w:rPr>
              <w:t xml:space="preserve"> </w:t>
            </w:r>
          </w:p>
          <w:p w14:paraId="3D3C491E" w14:textId="48810D39" w:rsidR="00674394" w:rsidRDefault="00674394" w:rsidP="005C4299">
            <w:pPr>
              <w:pStyle w:val="TableRowCentered"/>
              <w:ind w:left="0"/>
              <w:jc w:val="left"/>
              <w:rPr>
                <w:sz w:val="22"/>
              </w:rPr>
            </w:pPr>
          </w:p>
          <w:p w14:paraId="19E51BAD" w14:textId="72946FEF" w:rsidR="00674394" w:rsidRDefault="00555EC0" w:rsidP="005C4299">
            <w:pPr>
              <w:pStyle w:val="TableRowCentered"/>
              <w:ind w:left="0"/>
              <w:jc w:val="left"/>
              <w:rPr>
                <w:sz w:val="22"/>
              </w:rPr>
            </w:pPr>
            <w:hyperlink r:id="rId18" w:history="1">
              <w:r w:rsidR="00674394" w:rsidRPr="003C5C0E">
                <w:rPr>
                  <w:rStyle w:val="Hyperlink"/>
                  <w:sz w:val="22"/>
                </w:rPr>
                <w:t>https://educationendowmentfoundation.org.uk/projects-and-evaluation/projects/magic-breakfast?utm_source=/projects-and-evaluation/projects/magic-breakfast&amp;utm_medium=search&amp;utm_campaign=site_search&amp;search_term=breakfas</w:t>
              </w:r>
            </w:hyperlink>
            <w:r w:rsidR="00674394">
              <w:rPr>
                <w:sz w:val="22"/>
              </w:rPr>
              <w:t xml:space="preserve"> </w:t>
            </w:r>
          </w:p>
          <w:p w14:paraId="2A7D5539" w14:textId="6C3396FF" w:rsidR="005C4299" w:rsidRDefault="005C4299" w:rsidP="005C4299">
            <w:pPr>
              <w:pStyle w:val="TableRowCentered"/>
              <w:ind w:left="0"/>
              <w:jc w:val="left"/>
              <w:rPr>
                <w:sz w:val="22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1AF4F46A" w:rsidR="00E66558" w:rsidRDefault="008462B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 &amp; </w:t>
            </w:r>
            <w:r w:rsidR="008B35D6">
              <w:rPr>
                <w:sz w:val="22"/>
              </w:rPr>
              <w:t>3</w:t>
            </w:r>
          </w:p>
        </w:tc>
      </w:tr>
      <w:tr w:rsidR="00674394" w14:paraId="2A7D553F" w14:textId="77777777" w:rsidTr="00674394"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3CCA0B5B" w:rsidR="00E66558" w:rsidRPr="008462B1" w:rsidRDefault="008462B1">
            <w:pPr>
              <w:pStyle w:val="TableRow"/>
              <w:rPr>
                <w:b/>
                <w:sz w:val="22"/>
              </w:rPr>
            </w:pPr>
            <w:r>
              <w:rPr>
                <w:b/>
                <w:sz w:val="22"/>
              </w:rPr>
              <w:t>Outreach to wider community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F962" w14:textId="77777777" w:rsidR="00E66558" w:rsidRDefault="00E535B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One-Stop shop developed – access to cheaper uniform for families. </w:t>
            </w:r>
          </w:p>
          <w:p w14:paraId="3A5500BD" w14:textId="77777777" w:rsidR="00E535BE" w:rsidRDefault="008462B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Families are aware of services available to them re additional support and funding available to them. </w:t>
            </w:r>
          </w:p>
          <w:p w14:paraId="26962154" w14:textId="385EE4CE" w:rsidR="0032312B" w:rsidRDefault="008462B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Care packages allocated to families (where appropriate).</w:t>
            </w:r>
          </w:p>
          <w:p w14:paraId="097DC624" w14:textId="1201307B" w:rsidR="00674394" w:rsidRDefault="00674394">
            <w:pPr>
              <w:pStyle w:val="TableRowCentered"/>
              <w:jc w:val="left"/>
              <w:rPr>
                <w:sz w:val="22"/>
              </w:rPr>
            </w:pPr>
          </w:p>
          <w:p w14:paraId="4246DEF4" w14:textId="77777777" w:rsidR="00674394" w:rsidRDefault="00555EC0" w:rsidP="00674394">
            <w:pPr>
              <w:pStyle w:val="TableRowCentered"/>
              <w:ind w:left="0"/>
              <w:jc w:val="left"/>
              <w:rPr>
                <w:sz w:val="22"/>
              </w:rPr>
            </w:pPr>
            <w:hyperlink r:id="rId19" w:history="1">
              <w:r w:rsidR="00674394" w:rsidRPr="003C5C0E">
                <w:rPr>
                  <w:rStyle w:val="Hyperlink"/>
                  <w:sz w:val="22"/>
                </w:rPr>
                <w:t>https://educationendowmentfoundation.org.uk/education-evidence/guidance-reports/supporting-parents</w:t>
              </w:r>
            </w:hyperlink>
            <w:r w:rsidR="00674394">
              <w:rPr>
                <w:sz w:val="22"/>
              </w:rPr>
              <w:t xml:space="preserve"> </w:t>
            </w:r>
          </w:p>
          <w:p w14:paraId="2A7D553D" w14:textId="40F72900" w:rsidR="008462B1" w:rsidRPr="00954687" w:rsidRDefault="008462B1" w:rsidP="00674394">
            <w:pPr>
              <w:pStyle w:val="TableRowCentered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22E31BC0" w:rsidR="00E66558" w:rsidRDefault="008B35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4 &amp; 5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C34F73" w14:paraId="21367CF9" w14:textId="77777777" w:rsidTr="00EC0822">
        <w:trPr>
          <w:trHeight w:val="1266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EEC0" w14:textId="7C4996B1" w:rsidR="00C34F73" w:rsidRDefault="00C34F73" w:rsidP="00EC0822">
            <w:pPr>
              <w:rPr>
                <w:b/>
              </w:rPr>
            </w:pPr>
            <w:r>
              <w:rPr>
                <w:b/>
              </w:rPr>
              <w:t>EYFS End of Year Assessments 2</w:t>
            </w:r>
            <w:r w:rsidR="003E16EB">
              <w:rPr>
                <w:b/>
              </w:rPr>
              <w:t>3-24</w:t>
            </w:r>
            <w:r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5"/>
              <w:gridCol w:w="1327"/>
              <w:gridCol w:w="1701"/>
              <w:gridCol w:w="1417"/>
              <w:gridCol w:w="1867"/>
            </w:tblGrid>
            <w:tr w:rsidR="00C34F73" w14:paraId="434D5069" w14:textId="77777777" w:rsidTr="00EC0822">
              <w:trPr>
                <w:trHeight w:val="535"/>
              </w:trPr>
              <w:tc>
                <w:tcPr>
                  <w:tcW w:w="2955" w:type="dxa"/>
                </w:tcPr>
                <w:p w14:paraId="39150B53" w14:textId="77777777" w:rsidR="00C34F73" w:rsidRPr="00121CE8" w:rsidRDefault="00C34F73" w:rsidP="00EC0822">
                  <w:pPr>
                    <w:rPr>
                      <w:sz w:val="20"/>
                    </w:rPr>
                  </w:pPr>
                </w:p>
              </w:tc>
              <w:tc>
                <w:tcPr>
                  <w:tcW w:w="6312" w:type="dxa"/>
                  <w:gridSpan w:val="4"/>
                </w:tcPr>
                <w:p w14:paraId="7760453E" w14:textId="77777777" w:rsidR="00C34F73" w:rsidRPr="00121CE8" w:rsidRDefault="00C34F73" w:rsidP="00EC0822">
                  <w:pPr>
                    <w:rPr>
                      <w:sz w:val="20"/>
                    </w:rPr>
                  </w:pPr>
                  <w:r w:rsidRPr="00121CE8">
                    <w:rPr>
                      <w:sz w:val="20"/>
                    </w:rPr>
                    <w:t>Attainment:</w:t>
                  </w:r>
                </w:p>
              </w:tc>
            </w:tr>
            <w:tr w:rsidR="00C34F73" w14:paraId="5F4CC616" w14:textId="77777777" w:rsidTr="00EC0822">
              <w:trPr>
                <w:trHeight w:val="337"/>
              </w:trPr>
              <w:tc>
                <w:tcPr>
                  <w:tcW w:w="2955" w:type="dxa"/>
                </w:tcPr>
                <w:p w14:paraId="0812B3C6" w14:textId="77777777" w:rsidR="00C34F73" w:rsidRPr="00121CE8" w:rsidRDefault="00C34F73" w:rsidP="00EC0822">
                  <w:pPr>
                    <w:rPr>
                      <w:sz w:val="20"/>
                    </w:rPr>
                  </w:pPr>
                </w:p>
              </w:tc>
              <w:tc>
                <w:tcPr>
                  <w:tcW w:w="1327" w:type="dxa"/>
                </w:tcPr>
                <w:p w14:paraId="50876E6C" w14:textId="77777777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PP</w:t>
                  </w:r>
                </w:p>
              </w:tc>
              <w:tc>
                <w:tcPr>
                  <w:tcW w:w="1701" w:type="dxa"/>
                </w:tcPr>
                <w:p w14:paraId="76A4079D" w14:textId="77777777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Not PP</w:t>
                  </w:r>
                </w:p>
              </w:tc>
              <w:tc>
                <w:tcPr>
                  <w:tcW w:w="1417" w:type="dxa"/>
                </w:tcPr>
                <w:p w14:paraId="0DC4FED6" w14:textId="77777777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 xml:space="preserve">Gap </w:t>
                  </w:r>
                </w:p>
              </w:tc>
              <w:tc>
                <w:tcPr>
                  <w:tcW w:w="1867" w:type="dxa"/>
                </w:tcPr>
                <w:p w14:paraId="59710153" w14:textId="6B49C9EE" w:rsidR="00C34F73" w:rsidRPr="00121CE8" w:rsidRDefault="00C34F73" w:rsidP="00EC0822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PP &amp; SEND </w:t>
                  </w:r>
                  <w:r w:rsidR="009425E5">
                    <w:rPr>
                      <w:b/>
                      <w:sz w:val="20"/>
                    </w:rPr>
                    <w:t>(1)</w:t>
                  </w:r>
                </w:p>
              </w:tc>
            </w:tr>
            <w:tr w:rsidR="00C34F73" w:rsidRPr="00565426" w14:paraId="729CF6E3" w14:textId="77777777" w:rsidTr="00EC0822">
              <w:trPr>
                <w:trHeight w:val="546"/>
              </w:trPr>
              <w:tc>
                <w:tcPr>
                  <w:tcW w:w="2955" w:type="dxa"/>
                </w:tcPr>
                <w:p w14:paraId="1F581A47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Good Level of Development</w:t>
                  </w:r>
                </w:p>
              </w:tc>
              <w:tc>
                <w:tcPr>
                  <w:tcW w:w="1327" w:type="dxa"/>
                </w:tcPr>
                <w:p w14:paraId="11F4D8EF" w14:textId="5E5DEB09" w:rsidR="00C34F73" w:rsidRPr="00121CE8" w:rsidRDefault="009425E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86%</w:t>
                  </w:r>
                </w:p>
              </w:tc>
              <w:tc>
                <w:tcPr>
                  <w:tcW w:w="1701" w:type="dxa"/>
                </w:tcPr>
                <w:p w14:paraId="7932F2B5" w14:textId="6AED93AE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  <w:r w:rsidR="009425E5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3295F833" w14:textId="1C059D1E" w:rsidR="00C34F73" w:rsidRPr="00121CE8" w:rsidRDefault="009425E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+11%</w:t>
                  </w:r>
                </w:p>
              </w:tc>
              <w:tc>
                <w:tcPr>
                  <w:tcW w:w="1867" w:type="dxa"/>
                </w:tcPr>
                <w:p w14:paraId="3E5F8C7A" w14:textId="48FD422E" w:rsidR="00C34F73" w:rsidRPr="00121CE8" w:rsidRDefault="009425E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0%</w:t>
                  </w:r>
                </w:p>
              </w:tc>
            </w:tr>
            <w:tr w:rsidR="00C34F73" w:rsidRPr="00565426" w14:paraId="532CDADB" w14:textId="77777777" w:rsidTr="00EC0822">
              <w:trPr>
                <w:trHeight w:val="535"/>
              </w:trPr>
              <w:tc>
                <w:tcPr>
                  <w:tcW w:w="2955" w:type="dxa"/>
                </w:tcPr>
                <w:p w14:paraId="0AB8691D" w14:textId="77777777" w:rsidR="00C34F73" w:rsidRPr="00121CE8" w:rsidRDefault="00C34F73" w:rsidP="00EC0822">
                  <w:pPr>
                    <w:spacing w:after="0"/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Reading:</w:t>
                  </w:r>
                </w:p>
                <w:p w14:paraId="5FA540BF" w14:textId="77777777" w:rsidR="00C34F73" w:rsidRPr="00121CE8" w:rsidRDefault="00C34F73" w:rsidP="00EC0822">
                  <w:pPr>
                    <w:spacing w:after="0"/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Comprehension:</w:t>
                  </w:r>
                </w:p>
                <w:p w14:paraId="61B1B69A" w14:textId="77777777" w:rsidR="00C34F73" w:rsidRPr="00121CE8" w:rsidRDefault="00C34F73" w:rsidP="00EC0822">
                  <w:pPr>
                    <w:spacing w:after="0"/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Word Reading:</w:t>
                  </w:r>
                </w:p>
              </w:tc>
              <w:tc>
                <w:tcPr>
                  <w:tcW w:w="1327" w:type="dxa"/>
                </w:tcPr>
                <w:p w14:paraId="07B0F285" w14:textId="77777777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14:paraId="058F39DA" w14:textId="77777777" w:rsidR="009425E5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86%</w:t>
                  </w:r>
                </w:p>
                <w:p w14:paraId="06BA32CA" w14:textId="5A2DBD3F" w:rsidR="009425E5" w:rsidRPr="00121CE8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86%</w:t>
                  </w:r>
                </w:p>
              </w:tc>
              <w:tc>
                <w:tcPr>
                  <w:tcW w:w="1701" w:type="dxa"/>
                </w:tcPr>
                <w:p w14:paraId="303B2AE1" w14:textId="77777777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14:paraId="68E8C141" w14:textId="452FC36F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9425E5">
                    <w:rPr>
                      <w:sz w:val="20"/>
                    </w:rPr>
                    <w:t>9</w:t>
                  </w:r>
                  <w:r>
                    <w:rPr>
                      <w:sz w:val="20"/>
                    </w:rPr>
                    <w:t>%</w:t>
                  </w:r>
                </w:p>
                <w:p w14:paraId="444AD60F" w14:textId="34E8F67E" w:rsidR="00C34F73" w:rsidRPr="00121CE8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85</w:t>
                  </w:r>
                  <w:r w:rsidR="00C34F73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6979EEFA" w14:textId="77777777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14:paraId="5A870C03" w14:textId="77777777" w:rsidR="009425E5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-3%</w:t>
                  </w:r>
                </w:p>
                <w:p w14:paraId="0448AFDD" w14:textId="3DDBD7BF" w:rsidR="009425E5" w:rsidRPr="00121CE8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+1%</w:t>
                  </w:r>
                </w:p>
              </w:tc>
              <w:tc>
                <w:tcPr>
                  <w:tcW w:w="1867" w:type="dxa"/>
                </w:tcPr>
                <w:p w14:paraId="67A738C9" w14:textId="77777777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14:paraId="0DA1E05F" w14:textId="77777777" w:rsidR="009425E5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0%</w:t>
                  </w:r>
                </w:p>
                <w:p w14:paraId="37A86B65" w14:textId="4CD6ED16" w:rsidR="009425E5" w:rsidRPr="00121CE8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0%</w:t>
                  </w:r>
                </w:p>
              </w:tc>
            </w:tr>
            <w:tr w:rsidR="00C34F73" w:rsidRPr="00565426" w14:paraId="57803723" w14:textId="77777777" w:rsidTr="00EC0822">
              <w:trPr>
                <w:trHeight w:val="252"/>
              </w:trPr>
              <w:tc>
                <w:tcPr>
                  <w:tcW w:w="2955" w:type="dxa"/>
                </w:tcPr>
                <w:p w14:paraId="7AD4E33D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 xml:space="preserve">Writing </w:t>
                  </w:r>
                </w:p>
              </w:tc>
              <w:tc>
                <w:tcPr>
                  <w:tcW w:w="1327" w:type="dxa"/>
                </w:tcPr>
                <w:p w14:paraId="541E99A3" w14:textId="14CA223B" w:rsidR="00C34F73" w:rsidRPr="00121CE8" w:rsidRDefault="009425E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86%</w:t>
                  </w:r>
                </w:p>
              </w:tc>
              <w:tc>
                <w:tcPr>
                  <w:tcW w:w="1701" w:type="dxa"/>
                </w:tcPr>
                <w:p w14:paraId="34F8F36F" w14:textId="4A01476E" w:rsidR="00C34F73" w:rsidRPr="00121CE8" w:rsidRDefault="009425E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</w:t>
                  </w:r>
                  <w:r w:rsidR="00C34F73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4D9FAE68" w14:textId="0230F0D1" w:rsidR="00C34F73" w:rsidRPr="00121CE8" w:rsidRDefault="009425E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+7%</w:t>
                  </w:r>
                </w:p>
              </w:tc>
              <w:tc>
                <w:tcPr>
                  <w:tcW w:w="1867" w:type="dxa"/>
                </w:tcPr>
                <w:p w14:paraId="01F2B7C2" w14:textId="626EFB42" w:rsidR="00C34F73" w:rsidRPr="00121CE8" w:rsidRDefault="009425E5" w:rsidP="009425E5">
                  <w:pPr>
                    <w:tabs>
                      <w:tab w:val="left" w:pos="1284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0%</w:t>
                  </w:r>
                </w:p>
              </w:tc>
            </w:tr>
            <w:tr w:rsidR="00C34F73" w:rsidRPr="00565426" w14:paraId="3D486D5F" w14:textId="77777777" w:rsidTr="00EC0822">
              <w:trPr>
                <w:trHeight w:val="535"/>
              </w:trPr>
              <w:tc>
                <w:tcPr>
                  <w:tcW w:w="2955" w:type="dxa"/>
                </w:tcPr>
                <w:p w14:paraId="6CD01341" w14:textId="77777777" w:rsidR="00C34F73" w:rsidRPr="00121CE8" w:rsidRDefault="00C34F73" w:rsidP="00EC0822">
                  <w:pPr>
                    <w:spacing w:after="0"/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Maths:</w:t>
                  </w:r>
                </w:p>
                <w:p w14:paraId="057F97C8" w14:textId="77777777" w:rsidR="00C34F73" w:rsidRPr="00121CE8" w:rsidRDefault="00C34F73" w:rsidP="00EC0822">
                  <w:pPr>
                    <w:spacing w:after="0"/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Number:</w:t>
                  </w:r>
                </w:p>
                <w:p w14:paraId="0AEE8E2E" w14:textId="77777777" w:rsidR="00C34F73" w:rsidRPr="00121CE8" w:rsidRDefault="00C34F73" w:rsidP="00EC0822">
                  <w:pPr>
                    <w:spacing w:after="0"/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Numerical Patterns:</w:t>
                  </w:r>
                </w:p>
              </w:tc>
              <w:tc>
                <w:tcPr>
                  <w:tcW w:w="1327" w:type="dxa"/>
                </w:tcPr>
                <w:p w14:paraId="00C2FF3E" w14:textId="77777777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14:paraId="22D14579" w14:textId="77777777" w:rsidR="009425E5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86%</w:t>
                  </w:r>
                </w:p>
                <w:p w14:paraId="1573E267" w14:textId="2B19752B" w:rsidR="009425E5" w:rsidRPr="00121CE8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86%</w:t>
                  </w:r>
                </w:p>
              </w:tc>
              <w:tc>
                <w:tcPr>
                  <w:tcW w:w="1701" w:type="dxa"/>
                </w:tcPr>
                <w:p w14:paraId="19C14417" w14:textId="77777777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14:paraId="265DE273" w14:textId="5092B83A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9425E5">
                    <w:rPr>
                      <w:sz w:val="20"/>
                    </w:rPr>
                    <w:t>7</w:t>
                  </w:r>
                  <w:r>
                    <w:rPr>
                      <w:sz w:val="20"/>
                    </w:rPr>
                    <w:t>%</w:t>
                  </w:r>
                </w:p>
                <w:p w14:paraId="7AC5232D" w14:textId="04D517DB" w:rsidR="00C34F73" w:rsidRPr="00121CE8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9425E5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43E531D0" w14:textId="77777777" w:rsidR="00C34F73" w:rsidRDefault="00C34F73" w:rsidP="00EC0822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14:paraId="3AD76598" w14:textId="77777777" w:rsidR="009425E5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-1%</w:t>
                  </w:r>
                </w:p>
                <w:p w14:paraId="4CF8981A" w14:textId="06B3D15C" w:rsidR="009425E5" w:rsidRPr="00121CE8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+1%</w:t>
                  </w:r>
                </w:p>
              </w:tc>
              <w:tc>
                <w:tcPr>
                  <w:tcW w:w="1867" w:type="dxa"/>
                </w:tcPr>
                <w:p w14:paraId="67CA383C" w14:textId="77777777" w:rsidR="009425E5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14:paraId="536528BD" w14:textId="77777777" w:rsidR="00C34F73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0%</w:t>
                  </w:r>
                </w:p>
                <w:p w14:paraId="38B2C550" w14:textId="169FC387" w:rsidR="009425E5" w:rsidRPr="00121CE8" w:rsidRDefault="009425E5" w:rsidP="00EC0822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0%</w:t>
                  </w:r>
                </w:p>
              </w:tc>
            </w:tr>
          </w:tbl>
          <w:p w14:paraId="1E98B127" w14:textId="759EE638" w:rsidR="00C34F73" w:rsidRPr="00C835E6" w:rsidRDefault="00C34F73" w:rsidP="00EC0822">
            <w:pPr>
              <w:rPr>
                <w:b/>
              </w:rPr>
            </w:pPr>
            <w:r w:rsidRPr="00C835E6">
              <w:rPr>
                <w:b/>
              </w:rPr>
              <w:t>Key Stage</w:t>
            </w:r>
            <w:r>
              <w:rPr>
                <w:b/>
              </w:rPr>
              <w:t xml:space="preserve"> 1 End of Year Assessments 2</w:t>
            </w:r>
            <w:r w:rsidR="003E16EB">
              <w:rPr>
                <w:b/>
              </w:rPr>
              <w:t>3-24</w:t>
            </w:r>
            <w:r w:rsidRPr="00C835E6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1701"/>
              <w:gridCol w:w="1560"/>
              <w:gridCol w:w="2126"/>
              <w:gridCol w:w="1725"/>
            </w:tblGrid>
            <w:tr w:rsidR="00C34F73" w14:paraId="467C7D39" w14:textId="77777777" w:rsidTr="00EC0822">
              <w:trPr>
                <w:trHeight w:val="535"/>
              </w:trPr>
              <w:tc>
                <w:tcPr>
                  <w:tcW w:w="2155" w:type="dxa"/>
                </w:tcPr>
                <w:p w14:paraId="62D0DE43" w14:textId="77777777" w:rsidR="00C34F73" w:rsidRPr="00121CE8" w:rsidRDefault="00C34F73" w:rsidP="00EC0822">
                  <w:pPr>
                    <w:rPr>
                      <w:sz w:val="20"/>
                    </w:rPr>
                  </w:pPr>
                </w:p>
              </w:tc>
              <w:tc>
                <w:tcPr>
                  <w:tcW w:w="7112" w:type="dxa"/>
                  <w:gridSpan w:val="4"/>
                </w:tcPr>
                <w:p w14:paraId="01EB99EB" w14:textId="77777777" w:rsidR="00C34F73" w:rsidRPr="00121CE8" w:rsidRDefault="00C34F73" w:rsidP="00EC082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Attainment (Working at the expected standard):</w:t>
                  </w:r>
                </w:p>
              </w:tc>
            </w:tr>
            <w:tr w:rsidR="00C34F73" w14:paraId="2CA4D550" w14:textId="77777777" w:rsidTr="00EC0822">
              <w:trPr>
                <w:trHeight w:val="168"/>
              </w:trPr>
              <w:tc>
                <w:tcPr>
                  <w:tcW w:w="2155" w:type="dxa"/>
                </w:tcPr>
                <w:p w14:paraId="30DCDE09" w14:textId="77777777" w:rsidR="00C34F73" w:rsidRPr="00121CE8" w:rsidRDefault="00C34F73" w:rsidP="00EC0822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43EC016" w14:textId="317A8F5D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PP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14:paraId="165BC40B" w14:textId="77777777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Not PP</w:t>
                  </w:r>
                </w:p>
              </w:tc>
              <w:tc>
                <w:tcPr>
                  <w:tcW w:w="2126" w:type="dxa"/>
                </w:tcPr>
                <w:p w14:paraId="597C8860" w14:textId="77777777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 xml:space="preserve">Gap </w:t>
                  </w:r>
                </w:p>
              </w:tc>
              <w:tc>
                <w:tcPr>
                  <w:tcW w:w="1725" w:type="dxa"/>
                </w:tcPr>
                <w:p w14:paraId="1988B56D" w14:textId="4B30FD84" w:rsidR="00C34F73" w:rsidRPr="00121CE8" w:rsidRDefault="00C34F73" w:rsidP="00EC0822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PP &amp; SEND (</w:t>
                  </w:r>
                  <w:r w:rsidR="001E2E05">
                    <w:rPr>
                      <w:b/>
                      <w:sz w:val="20"/>
                    </w:rPr>
                    <w:t>3</w:t>
                  </w:r>
                  <w:r>
                    <w:rPr>
                      <w:b/>
                      <w:sz w:val="20"/>
                    </w:rPr>
                    <w:t>)</w:t>
                  </w:r>
                </w:p>
              </w:tc>
            </w:tr>
            <w:tr w:rsidR="00C34F73" w14:paraId="2A21CB45" w14:textId="77777777" w:rsidTr="00EC0822">
              <w:trPr>
                <w:trHeight w:val="546"/>
              </w:trPr>
              <w:tc>
                <w:tcPr>
                  <w:tcW w:w="2155" w:type="dxa"/>
                </w:tcPr>
                <w:p w14:paraId="4A98392D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 xml:space="preserve">Reading </w:t>
                  </w:r>
                </w:p>
              </w:tc>
              <w:tc>
                <w:tcPr>
                  <w:tcW w:w="1701" w:type="dxa"/>
                </w:tcPr>
                <w:p w14:paraId="4CD64864" w14:textId="3350FAB5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33%</w:t>
                  </w:r>
                </w:p>
              </w:tc>
              <w:tc>
                <w:tcPr>
                  <w:tcW w:w="1560" w:type="dxa"/>
                </w:tcPr>
                <w:p w14:paraId="53A40463" w14:textId="6103DD06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80%</w:t>
                  </w:r>
                </w:p>
              </w:tc>
              <w:tc>
                <w:tcPr>
                  <w:tcW w:w="2126" w:type="dxa"/>
                </w:tcPr>
                <w:p w14:paraId="56491E8F" w14:textId="49E6FAA9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-47%</w:t>
                  </w:r>
                  <w:bookmarkStart w:id="15" w:name="_GoBack"/>
                  <w:bookmarkEnd w:id="15"/>
                </w:p>
              </w:tc>
              <w:tc>
                <w:tcPr>
                  <w:tcW w:w="1725" w:type="dxa"/>
                </w:tcPr>
                <w:p w14:paraId="4E26308F" w14:textId="42FC8E9E" w:rsidR="00C34F73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33% (1)</w:t>
                  </w:r>
                </w:p>
              </w:tc>
            </w:tr>
            <w:tr w:rsidR="00C34F73" w14:paraId="26C39356" w14:textId="77777777" w:rsidTr="00EC0822">
              <w:trPr>
                <w:trHeight w:val="535"/>
              </w:trPr>
              <w:tc>
                <w:tcPr>
                  <w:tcW w:w="2155" w:type="dxa"/>
                </w:tcPr>
                <w:p w14:paraId="6D7FF06D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 xml:space="preserve">Writing </w:t>
                  </w:r>
                </w:p>
              </w:tc>
              <w:tc>
                <w:tcPr>
                  <w:tcW w:w="1701" w:type="dxa"/>
                </w:tcPr>
                <w:p w14:paraId="6037880C" w14:textId="4CA9ECCB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20%</w:t>
                  </w:r>
                </w:p>
              </w:tc>
              <w:tc>
                <w:tcPr>
                  <w:tcW w:w="1560" w:type="dxa"/>
                </w:tcPr>
                <w:p w14:paraId="4D6B1757" w14:textId="318FED49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60%</w:t>
                  </w:r>
                </w:p>
              </w:tc>
              <w:tc>
                <w:tcPr>
                  <w:tcW w:w="2126" w:type="dxa"/>
                </w:tcPr>
                <w:p w14:paraId="206B3C6C" w14:textId="1E7D26EB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-40%</w:t>
                  </w:r>
                </w:p>
              </w:tc>
              <w:tc>
                <w:tcPr>
                  <w:tcW w:w="1725" w:type="dxa"/>
                </w:tcPr>
                <w:p w14:paraId="4CF9D094" w14:textId="4BB0F6DA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0%</w:t>
                  </w:r>
                </w:p>
              </w:tc>
            </w:tr>
            <w:tr w:rsidR="00C34F73" w14:paraId="4002FD94" w14:textId="77777777" w:rsidTr="00EC0822">
              <w:trPr>
                <w:trHeight w:val="535"/>
              </w:trPr>
              <w:tc>
                <w:tcPr>
                  <w:tcW w:w="2155" w:type="dxa"/>
                </w:tcPr>
                <w:p w14:paraId="37F80E5A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Maths</w:t>
                  </w:r>
                </w:p>
              </w:tc>
              <w:tc>
                <w:tcPr>
                  <w:tcW w:w="1701" w:type="dxa"/>
                </w:tcPr>
                <w:p w14:paraId="424B70CE" w14:textId="7405528A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33%</w:t>
                  </w:r>
                </w:p>
              </w:tc>
              <w:tc>
                <w:tcPr>
                  <w:tcW w:w="1560" w:type="dxa"/>
                </w:tcPr>
                <w:p w14:paraId="63336E11" w14:textId="42253E10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73%</w:t>
                  </w:r>
                </w:p>
              </w:tc>
              <w:tc>
                <w:tcPr>
                  <w:tcW w:w="2126" w:type="dxa"/>
                </w:tcPr>
                <w:p w14:paraId="47127D35" w14:textId="16963BAA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-40%</w:t>
                  </w:r>
                </w:p>
              </w:tc>
              <w:tc>
                <w:tcPr>
                  <w:tcW w:w="1725" w:type="dxa"/>
                </w:tcPr>
                <w:p w14:paraId="2B5A3DD6" w14:textId="5C9F2284" w:rsidR="00C34F73" w:rsidRPr="00121CE8" w:rsidRDefault="00555EC0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0%</w:t>
                  </w:r>
                </w:p>
              </w:tc>
            </w:tr>
          </w:tbl>
          <w:p w14:paraId="4DC6F181" w14:textId="58CFAF61" w:rsidR="00C34F73" w:rsidRPr="00C835E6" w:rsidRDefault="00C34F73" w:rsidP="00EC0822">
            <w:pPr>
              <w:rPr>
                <w:b/>
              </w:rPr>
            </w:pPr>
            <w:r w:rsidRPr="00C835E6">
              <w:rPr>
                <w:b/>
              </w:rPr>
              <w:t>Key Stage</w:t>
            </w:r>
            <w:r>
              <w:rPr>
                <w:b/>
              </w:rPr>
              <w:t xml:space="preserve"> 2 End of Year Assessments 2</w:t>
            </w:r>
            <w:r w:rsidR="00607CA5">
              <w:rPr>
                <w:b/>
              </w:rPr>
              <w:t>3-24</w:t>
            </w:r>
            <w:r w:rsidRPr="00C835E6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9"/>
              <w:gridCol w:w="1787"/>
              <w:gridCol w:w="1550"/>
              <w:gridCol w:w="2016"/>
              <w:gridCol w:w="1725"/>
            </w:tblGrid>
            <w:tr w:rsidR="00C34F73" w14:paraId="025DC911" w14:textId="77777777" w:rsidTr="00EC0822">
              <w:trPr>
                <w:trHeight w:val="544"/>
              </w:trPr>
              <w:tc>
                <w:tcPr>
                  <w:tcW w:w="2189" w:type="dxa"/>
                </w:tcPr>
                <w:p w14:paraId="642BBA6D" w14:textId="77777777" w:rsidR="00C34F73" w:rsidRPr="00121CE8" w:rsidRDefault="00C34F73" w:rsidP="00EC0822">
                  <w:pPr>
                    <w:rPr>
                      <w:sz w:val="20"/>
                    </w:rPr>
                  </w:pPr>
                </w:p>
              </w:tc>
              <w:tc>
                <w:tcPr>
                  <w:tcW w:w="7078" w:type="dxa"/>
                  <w:gridSpan w:val="4"/>
                </w:tcPr>
                <w:p w14:paraId="7C9BDC42" w14:textId="77777777" w:rsidR="00C34F73" w:rsidRPr="00121CE8" w:rsidRDefault="00C34F73" w:rsidP="00EC082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Attainment (Working at the expected standard):</w:t>
                  </w:r>
                </w:p>
              </w:tc>
            </w:tr>
            <w:tr w:rsidR="00C34F73" w14:paraId="37D89C50" w14:textId="77777777" w:rsidTr="00EC0822">
              <w:trPr>
                <w:trHeight w:val="266"/>
              </w:trPr>
              <w:tc>
                <w:tcPr>
                  <w:tcW w:w="2189" w:type="dxa"/>
                </w:tcPr>
                <w:p w14:paraId="62F732AB" w14:textId="77777777" w:rsidR="00C34F73" w:rsidRPr="00121CE8" w:rsidRDefault="00C34F73" w:rsidP="00EC0822">
                  <w:pPr>
                    <w:rPr>
                      <w:sz w:val="20"/>
                    </w:rPr>
                  </w:pPr>
                </w:p>
              </w:tc>
              <w:tc>
                <w:tcPr>
                  <w:tcW w:w="1787" w:type="dxa"/>
                </w:tcPr>
                <w:p w14:paraId="405FAB61" w14:textId="45DAB787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PP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550" w:type="dxa"/>
                </w:tcPr>
                <w:p w14:paraId="313E903D" w14:textId="77777777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Not PP</w:t>
                  </w:r>
                </w:p>
              </w:tc>
              <w:tc>
                <w:tcPr>
                  <w:tcW w:w="2016" w:type="dxa"/>
                </w:tcPr>
                <w:p w14:paraId="4830527F" w14:textId="77777777" w:rsidR="00C34F73" w:rsidRPr="00121CE8" w:rsidRDefault="00C34F73" w:rsidP="00EC0822">
                  <w:pPr>
                    <w:jc w:val="center"/>
                    <w:rPr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 xml:space="preserve">Gap </w:t>
                  </w:r>
                </w:p>
              </w:tc>
              <w:tc>
                <w:tcPr>
                  <w:tcW w:w="1725" w:type="dxa"/>
                </w:tcPr>
                <w:p w14:paraId="00D99FEB" w14:textId="0B5F4748" w:rsidR="00C34F73" w:rsidRPr="00121CE8" w:rsidRDefault="00C34F73" w:rsidP="00EC0822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PP &amp; SEND (</w:t>
                  </w:r>
                  <w:r w:rsidR="00607CA5">
                    <w:rPr>
                      <w:b/>
                      <w:sz w:val="20"/>
                    </w:rPr>
                    <w:t>14</w:t>
                  </w:r>
                  <w:r>
                    <w:rPr>
                      <w:b/>
                      <w:sz w:val="20"/>
                    </w:rPr>
                    <w:t>)</w:t>
                  </w:r>
                </w:p>
              </w:tc>
            </w:tr>
            <w:tr w:rsidR="00C34F73" w14:paraId="602265C0" w14:textId="77777777" w:rsidTr="00EC0822">
              <w:trPr>
                <w:trHeight w:val="556"/>
              </w:trPr>
              <w:tc>
                <w:tcPr>
                  <w:tcW w:w="2189" w:type="dxa"/>
                </w:tcPr>
                <w:p w14:paraId="0BF18DC5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 xml:space="preserve">Reading </w:t>
                  </w:r>
                </w:p>
              </w:tc>
              <w:tc>
                <w:tcPr>
                  <w:tcW w:w="1787" w:type="dxa"/>
                </w:tcPr>
                <w:p w14:paraId="4CD8824D" w14:textId="3527C773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67%</w:t>
                  </w:r>
                </w:p>
              </w:tc>
              <w:tc>
                <w:tcPr>
                  <w:tcW w:w="1550" w:type="dxa"/>
                </w:tcPr>
                <w:p w14:paraId="290BA59B" w14:textId="4B9FE51B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78%</w:t>
                  </w:r>
                </w:p>
              </w:tc>
              <w:tc>
                <w:tcPr>
                  <w:tcW w:w="2016" w:type="dxa"/>
                </w:tcPr>
                <w:p w14:paraId="3EDCF8C9" w14:textId="4D42AF64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-9%</w:t>
                  </w:r>
                </w:p>
              </w:tc>
              <w:tc>
                <w:tcPr>
                  <w:tcW w:w="1725" w:type="dxa"/>
                </w:tcPr>
                <w:p w14:paraId="3E4109D1" w14:textId="61979E20" w:rsidR="00C34F73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29% (4)</w:t>
                  </w:r>
                </w:p>
              </w:tc>
            </w:tr>
            <w:tr w:rsidR="00C34F73" w14:paraId="23B8F4AF" w14:textId="77777777" w:rsidTr="00EC0822">
              <w:trPr>
                <w:trHeight w:val="544"/>
              </w:trPr>
              <w:tc>
                <w:tcPr>
                  <w:tcW w:w="2189" w:type="dxa"/>
                </w:tcPr>
                <w:p w14:paraId="22A653E3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 xml:space="preserve">Writing </w:t>
                  </w:r>
                </w:p>
              </w:tc>
              <w:tc>
                <w:tcPr>
                  <w:tcW w:w="1787" w:type="dxa"/>
                </w:tcPr>
                <w:p w14:paraId="61ECFCD6" w14:textId="24409EC4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73%</w:t>
                  </w:r>
                </w:p>
              </w:tc>
              <w:tc>
                <w:tcPr>
                  <w:tcW w:w="1550" w:type="dxa"/>
                </w:tcPr>
                <w:p w14:paraId="5BAC819F" w14:textId="09068CAF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72%</w:t>
                  </w:r>
                </w:p>
              </w:tc>
              <w:tc>
                <w:tcPr>
                  <w:tcW w:w="2016" w:type="dxa"/>
                </w:tcPr>
                <w:p w14:paraId="03F58F7A" w14:textId="02EAB1E8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+1%</w:t>
                  </w:r>
                </w:p>
              </w:tc>
              <w:tc>
                <w:tcPr>
                  <w:tcW w:w="1725" w:type="dxa"/>
                </w:tcPr>
                <w:p w14:paraId="7E8DDF35" w14:textId="00B7BBD8" w:rsidR="00C34F73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29% (4)</w:t>
                  </w:r>
                </w:p>
              </w:tc>
            </w:tr>
            <w:tr w:rsidR="00C34F73" w14:paraId="2E55BDF3" w14:textId="77777777" w:rsidTr="00EC0822">
              <w:trPr>
                <w:trHeight w:val="544"/>
              </w:trPr>
              <w:tc>
                <w:tcPr>
                  <w:tcW w:w="2189" w:type="dxa"/>
                </w:tcPr>
                <w:p w14:paraId="098F9DF1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GPS</w:t>
                  </w:r>
                </w:p>
              </w:tc>
              <w:tc>
                <w:tcPr>
                  <w:tcW w:w="1787" w:type="dxa"/>
                </w:tcPr>
                <w:p w14:paraId="65AADB26" w14:textId="2A5A9A0D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60%</w:t>
                  </w:r>
                </w:p>
              </w:tc>
              <w:tc>
                <w:tcPr>
                  <w:tcW w:w="1550" w:type="dxa"/>
                </w:tcPr>
                <w:p w14:paraId="66A62E46" w14:textId="7EC80ECA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75%</w:t>
                  </w:r>
                </w:p>
              </w:tc>
              <w:tc>
                <w:tcPr>
                  <w:tcW w:w="2016" w:type="dxa"/>
                </w:tcPr>
                <w:p w14:paraId="104A1BBC" w14:textId="56FDFD17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-15%</w:t>
                  </w:r>
                </w:p>
              </w:tc>
              <w:tc>
                <w:tcPr>
                  <w:tcW w:w="1725" w:type="dxa"/>
                </w:tcPr>
                <w:p w14:paraId="0616A8C8" w14:textId="68E331F8" w:rsidR="00C34F73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29% (4)</w:t>
                  </w:r>
                </w:p>
              </w:tc>
            </w:tr>
            <w:tr w:rsidR="00C34F73" w14:paraId="6C1EDD8F" w14:textId="77777777" w:rsidTr="00EC0822">
              <w:trPr>
                <w:trHeight w:val="544"/>
              </w:trPr>
              <w:tc>
                <w:tcPr>
                  <w:tcW w:w="2189" w:type="dxa"/>
                </w:tcPr>
                <w:p w14:paraId="2A64DD15" w14:textId="77777777" w:rsidR="00C34F73" w:rsidRPr="00121CE8" w:rsidRDefault="00C34F73" w:rsidP="00EC0822">
                  <w:pPr>
                    <w:rPr>
                      <w:b/>
                      <w:sz w:val="20"/>
                    </w:rPr>
                  </w:pPr>
                  <w:r w:rsidRPr="00121CE8">
                    <w:rPr>
                      <w:b/>
                      <w:sz w:val="20"/>
                    </w:rPr>
                    <w:t>Maths</w:t>
                  </w:r>
                </w:p>
              </w:tc>
              <w:tc>
                <w:tcPr>
                  <w:tcW w:w="1787" w:type="dxa"/>
                </w:tcPr>
                <w:p w14:paraId="7A82453E" w14:textId="39E86FB8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53%</w:t>
                  </w:r>
                </w:p>
              </w:tc>
              <w:tc>
                <w:tcPr>
                  <w:tcW w:w="1550" w:type="dxa"/>
                </w:tcPr>
                <w:p w14:paraId="72A75AD3" w14:textId="5A02FD3F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73%</w:t>
                  </w:r>
                </w:p>
              </w:tc>
              <w:tc>
                <w:tcPr>
                  <w:tcW w:w="2016" w:type="dxa"/>
                </w:tcPr>
                <w:p w14:paraId="195441DF" w14:textId="7F65A83C" w:rsidR="00C34F73" w:rsidRPr="00121CE8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-20%</w:t>
                  </w:r>
                </w:p>
              </w:tc>
              <w:tc>
                <w:tcPr>
                  <w:tcW w:w="1725" w:type="dxa"/>
                </w:tcPr>
                <w:p w14:paraId="506FCD2B" w14:textId="6B9E5AA6" w:rsidR="00C34F73" w:rsidRDefault="00607CA5" w:rsidP="00EC08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29% (4)</w:t>
                  </w:r>
                </w:p>
              </w:tc>
            </w:tr>
          </w:tbl>
          <w:p w14:paraId="7726A936" w14:textId="77777777" w:rsidR="00C34F73" w:rsidRDefault="00C34F73" w:rsidP="00EC0822"/>
        </w:tc>
      </w:tr>
    </w:tbl>
    <w:p w14:paraId="2A7D5548" w14:textId="566E899C" w:rsidR="00E66558" w:rsidRDefault="006D6372" w:rsidP="00A82A98">
      <w:pPr>
        <w:pStyle w:val="Heading2"/>
      </w:pPr>
      <w:r>
        <w:lastRenderedPageBreak/>
        <w:t>E</w:t>
      </w:r>
      <w:r w:rsidR="009D71E8">
        <w:t>xternally provided programmes</w:t>
      </w:r>
    </w:p>
    <w:p w14:paraId="2A7D5549" w14:textId="1DAEF3DE" w:rsidR="00E66558" w:rsidRDefault="0B240EAF" w:rsidP="07FFD3D3">
      <w:pPr>
        <w:rPr>
          <w:i/>
          <w:iCs/>
        </w:rPr>
      </w:pPr>
      <w:r w:rsidRPr="07FFD3D3">
        <w:rPr>
          <w:i/>
          <w:iCs/>
        </w:rPr>
        <w:t xml:space="preserve">Please include the names of any non-DfE programmes that you </w:t>
      </w:r>
      <w:r w:rsidR="491E3A64" w:rsidRPr="07FFD3D3">
        <w:rPr>
          <w:i/>
          <w:iCs/>
        </w:rPr>
        <w:t xml:space="preserve">used your pupil premium (or recovery premium) to fund </w:t>
      </w:r>
      <w:r w:rsidRPr="07FFD3D3">
        <w:rPr>
          <w:i/>
          <w:iCs/>
        </w:rPr>
        <w:t xml:space="preserve">in the previous academic year.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0220755D" w:rsidR="00E66558" w:rsidRDefault="008462B1">
            <w:pPr>
              <w:pStyle w:val="TableRow"/>
            </w:pPr>
            <w:r>
              <w:t xml:space="preserve">Kent Inclusion Leadership Programme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081D" w14:textId="77777777" w:rsidR="00E66558" w:rsidRDefault="008462B1">
            <w:pPr>
              <w:pStyle w:val="TableRowCentered"/>
              <w:jc w:val="left"/>
            </w:pPr>
            <w:r>
              <w:t>LLSE - Leadership Learning Securing Excellence</w:t>
            </w:r>
          </w:p>
          <w:p w14:paraId="583FA7AC" w14:textId="77777777" w:rsidR="008462B1" w:rsidRDefault="008462B1">
            <w:pPr>
              <w:pStyle w:val="TableRowCentered"/>
              <w:jc w:val="left"/>
            </w:pPr>
            <w:r>
              <w:t>EDT - Education Development Trust</w:t>
            </w:r>
          </w:p>
          <w:p w14:paraId="2A7D554E" w14:textId="0F157426" w:rsidR="008462B1" w:rsidRDefault="008462B1">
            <w:pPr>
              <w:pStyle w:val="TableRowCentered"/>
              <w:jc w:val="left"/>
            </w:pPr>
            <w:r>
              <w:t>NASEN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18D4C3E" w:rsidR="00E66558" w:rsidRPr="00C34F73" w:rsidRDefault="00773E3E">
            <w:pPr>
              <w:pStyle w:val="TableRow"/>
            </w:pPr>
            <w:r w:rsidRPr="00C34F73">
              <w:t xml:space="preserve">Maths Hub – Maths Mastery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E301" w14:textId="77777777" w:rsidR="00E66558" w:rsidRPr="00C34F73" w:rsidRDefault="009074D0">
            <w:pPr>
              <w:pStyle w:val="TableRowCentered"/>
              <w:jc w:val="left"/>
            </w:pPr>
            <w:r w:rsidRPr="00C34F73">
              <w:t>The Education People</w:t>
            </w:r>
          </w:p>
          <w:p w14:paraId="2A7D5551" w14:textId="59158A32" w:rsidR="0032312B" w:rsidRPr="00C34F73" w:rsidRDefault="0032312B">
            <w:pPr>
              <w:pStyle w:val="TableRowCentered"/>
              <w:jc w:val="left"/>
            </w:pPr>
            <w:r w:rsidRPr="00C34F73">
              <w:t>NCETM</w:t>
            </w:r>
          </w:p>
        </w:tc>
      </w:tr>
      <w:tr w:rsidR="009074D0" w14:paraId="12B79AD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F6FD" w14:textId="63B7BF90" w:rsidR="009074D0" w:rsidRDefault="009074D0">
            <w:pPr>
              <w:pStyle w:val="TableRow"/>
            </w:pPr>
            <w:r>
              <w:t xml:space="preserve">Nurture Schools Accreditation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30A8" w14:textId="232147A9" w:rsidR="009074D0" w:rsidRDefault="00954687">
            <w:pPr>
              <w:pStyle w:val="TableRowCentered"/>
              <w:jc w:val="left"/>
            </w:pPr>
            <w:r>
              <w:t>National Nurturing</w:t>
            </w:r>
            <w:r w:rsidR="009074D0">
              <w:t xml:space="preserve"> Schools</w:t>
            </w:r>
            <w:r>
              <w:t xml:space="preserve"> Programme/ The Nurture Group Network.</w:t>
            </w:r>
          </w:p>
        </w:tc>
      </w:tr>
    </w:tbl>
    <w:p w14:paraId="2A7D555F" w14:textId="733BEC21" w:rsidR="00E66558" w:rsidRDefault="00E66558">
      <w:pPr>
        <w:spacing w:after="0" w:line="240" w:lineRule="auto"/>
      </w:pPr>
    </w:p>
    <w:bookmarkEnd w:id="12"/>
    <w:bookmarkEnd w:id="13"/>
    <w:bookmarkEnd w:id="14"/>
    <w:p w14:paraId="2A7D5564" w14:textId="77777777" w:rsidR="00E66558" w:rsidRDefault="00E66558" w:rsidP="00995047">
      <w:pPr>
        <w:pStyle w:val="Heading2"/>
      </w:pPr>
    </w:p>
    <w:sectPr w:rsidR="00E66558">
      <w:footerReference w:type="default" r:id="rId20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7C5B" w14:textId="77777777" w:rsidR="00C12746" w:rsidRDefault="00C12746">
      <w:pPr>
        <w:spacing w:after="0" w:line="240" w:lineRule="auto"/>
      </w:pPr>
      <w:r>
        <w:separator/>
      </w:r>
    </w:p>
  </w:endnote>
  <w:endnote w:type="continuationSeparator" w:id="0">
    <w:p w14:paraId="3D0B605C" w14:textId="77777777" w:rsidR="00C12746" w:rsidRDefault="00C12746">
      <w:pPr>
        <w:spacing w:after="0" w:line="240" w:lineRule="auto"/>
      </w:pPr>
      <w:r>
        <w:continuationSeparator/>
      </w:r>
    </w:p>
  </w:endnote>
  <w:endnote w:type="continuationNotice" w:id="1">
    <w:p w14:paraId="5937F05E" w14:textId="77777777" w:rsidR="00C12746" w:rsidRDefault="00C12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E" w14:textId="3F424A00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9500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DFE4" w14:textId="77777777" w:rsidR="00C12746" w:rsidRDefault="00C12746">
      <w:pPr>
        <w:spacing w:after="0" w:line="240" w:lineRule="auto"/>
      </w:pPr>
      <w:r>
        <w:separator/>
      </w:r>
    </w:p>
  </w:footnote>
  <w:footnote w:type="continuationSeparator" w:id="0">
    <w:p w14:paraId="527955F0" w14:textId="77777777" w:rsidR="00C12746" w:rsidRDefault="00C12746">
      <w:pPr>
        <w:spacing w:after="0" w:line="240" w:lineRule="auto"/>
      </w:pPr>
      <w:r>
        <w:continuationSeparator/>
      </w:r>
    </w:p>
  </w:footnote>
  <w:footnote w:type="continuationNotice" w:id="1">
    <w:p w14:paraId="7C8694AF" w14:textId="77777777" w:rsidR="00C12746" w:rsidRDefault="00C127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23729"/>
    <w:rsid w:val="000243B4"/>
    <w:rsid w:val="000452EB"/>
    <w:rsid w:val="000463AE"/>
    <w:rsid w:val="000507A3"/>
    <w:rsid w:val="00060A62"/>
    <w:rsid w:val="00064366"/>
    <w:rsid w:val="00066B73"/>
    <w:rsid w:val="00071481"/>
    <w:rsid w:val="00075FAE"/>
    <w:rsid w:val="00082F38"/>
    <w:rsid w:val="0008384B"/>
    <w:rsid w:val="00091814"/>
    <w:rsid w:val="000929EC"/>
    <w:rsid w:val="00093CDE"/>
    <w:rsid w:val="000A6379"/>
    <w:rsid w:val="000A680D"/>
    <w:rsid w:val="000D22B0"/>
    <w:rsid w:val="000D35C9"/>
    <w:rsid w:val="000D520C"/>
    <w:rsid w:val="000D6596"/>
    <w:rsid w:val="000E6DF0"/>
    <w:rsid w:val="001037CB"/>
    <w:rsid w:val="0010629E"/>
    <w:rsid w:val="00115538"/>
    <w:rsid w:val="00120AB1"/>
    <w:rsid w:val="00121CE8"/>
    <w:rsid w:val="00123A7F"/>
    <w:rsid w:val="001278D0"/>
    <w:rsid w:val="00127F72"/>
    <w:rsid w:val="00140646"/>
    <w:rsid w:val="00147A4B"/>
    <w:rsid w:val="00156121"/>
    <w:rsid w:val="001671ED"/>
    <w:rsid w:val="001727FA"/>
    <w:rsid w:val="00173D4C"/>
    <w:rsid w:val="00183218"/>
    <w:rsid w:val="00185988"/>
    <w:rsid w:val="001873B6"/>
    <w:rsid w:val="001901E6"/>
    <w:rsid w:val="00191305"/>
    <w:rsid w:val="00195B55"/>
    <w:rsid w:val="001A2FE8"/>
    <w:rsid w:val="001A33AC"/>
    <w:rsid w:val="001C1C51"/>
    <w:rsid w:val="001E0ECA"/>
    <w:rsid w:val="001E206F"/>
    <w:rsid w:val="001E2E05"/>
    <w:rsid w:val="001E5750"/>
    <w:rsid w:val="001E7739"/>
    <w:rsid w:val="001F3DB4"/>
    <w:rsid w:val="00204F40"/>
    <w:rsid w:val="00205DEF"/>
    <w:rsid w:val="00216C8A"/>
    <w:rsid w:val="00226317"/>
    <w:rsid w:val="00231539"/>
    <w:rsid w:val="002523E3"/>
    <w:rsid w:val="002649A4"/>
    <w:rsid w:val="00266FA5"/>
    <w:rsid w:val="00267E06"/>
    <w:rsid w:val="00280AD8"/>
    <w:rsid w:val="002920F4"/>
    <w:rsid w:val="002940F3"/>
    <w:rsid w:val="00295842"/>
    <w:rsid w:val="002B3574"/>
    <w:rsid w:val="002B6B74"/>
    <w:rsid w:val="002C6AE7"/>
    <w:rsid w:val="002D2D4B"/>
    <w:rsid w:val="002D3805"/>
    <w:rsid w:val="002E58DC"/>
    <w:rsid w:val="002E66AE"/>
    <w:rsid w:val="002E7763"/>
    <w:rsid w:val="002F1BD4"/>
    <w:rsid w:val="002F2315"/>
    <w:rsid w:val="002F5842"/>
    <w:rsid w:val="00304440"/>
    <w:rsid w:val="00306CB7"/>
    <w:rsid w:val="003111F5"/>
    <w:rsid w:val="0032312B"/>
    <w:rsid w:val="00336200"/>
    <w:rsid w:val="00337418"/>
    <w:rsid w:val="00351D83"/>
    <w:rsid w:val="00353E46"/>
    <w:rsid w:val="003576C4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0262"/>
    <w:rsid w:val="003B588A"/>
    <w:rsid w:val="003B621D"/>
    <w:rsid w:val="003C4388"/>
    <w:rsid w:val="003C4C27"/>
    <w:rsid w:val="003C7F7B"/>
    <w:rsid w:val="003D2EAA"/>
    <w:rsid w:val="003E054C"/>
    <w:rsid w:val="003E16EB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5A89"/>
    <w:rsid w:val="00452267"/>
    <w:rsid w:val="00453307"/>
    <w:rsid w:val="00457E36"/>
    <w:rsid w:val="00462F8F"/>
    <w:rsid w:val="00481D56"/>
    <w:rsid w:val="00490408"/>
    <w:rsid w:val="004A4C45"/>
    <w:rsid w:val="004B0485"/>
    <w:rsid w:val="004B428E"/>
    <w:rsid w:val="004B4D37"/>
    <w:rsid w:val="004C42F0"/>
    <w:rsid w:val="004E1D73"/>
    <w:rsid w:val="004F5E81"/>
    <w:rsid w:val="005073AE"/>
    <w:rsid w:val="0051286E"/>
    <w:rsid w:val="00516021"/>
    <w:rsid w:val="00516457"/>
    <w:rsid w:val="00520A0C"/>
    <w:rsid w:val="00530E37"/>
    <w:rsid w:val="005464A1"/>
    <w:rsid w:val="00546F12"/>
    <w:rsid w:val="0055339C"/>
    <w:rsid w:val="00555EC0"/>
    <w:rsid w:val="00562B3C"/>
    <w:rsid w:val="00564E40"/>
    <w:rsid w:val="00565426"/>
    <w:rsid w:val="005750E2"/>
    <w:rsid w:val="0058313F"/>
    <w:rsid w:val="00585859"/>
    <w:rsid w:val="00586FBC"/>
    <w:rsid w:val="005879C9"/>
    <w:rsid w:val="005A3C6B"/>
    <w:rsid w:val="005B1EA5"/>
    <w:rsid w:val="005C4299"/>
    <w:rsid w:val="005D7176"/>
    <w:rsid w:val="005E1F24"/>
    <w:rsid w:val="005E73F1"/>
    <w:rsid w:val="005F07EF"/>
    <w:rsid w:val="00600B2E"/>
    <w:rsid w:val="00607CA5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46A9B"/>
    <w:rsid w:val="00650529"/>
    <w:rsid w:val="00650BAB"/>
    <w:rsid w:val="00651737"/>
    <w:rsid w:val="006671BF"/>
    <w:rsid w:val="00672A7D"/>
    <w:rsid w:val="00674394"/>
    <w:rsid w:val="00681416"/>
    <w:rsid w:val="006A06F5"/>
    <w:rsid w:val="006A0ED2"/>
    <w:rsid w:val="006B0A73"/>
    <w:rsid w:val="006B200C"/>
    <w:rsid w:val="006B5A6B"/>
    <w:rsid w:val="006C0F82"/>
    <w:rsid w:val="006C332E"/>
    <w:rsid w:val="006C3D61"/>
    <w:rsid w:val="006C5901"/>
    <w:rsid w:val="006D6372"/>
    <w:rsid w:val="006D6E5C"/>
    <w:rsid w:val="006E02AF"/>
    <w:rsid w:val="006E0786"/>
    <w:rsid w:val="006E60F6"/>
    <w:rsid w:val="006E6B4A"/>
    <w:rsid w:val="006E7449"/>
    <w:rsid w:val="006E7FB1"/>
    <w:rsid w:val="006F2604"/>
    <w:rsid w:val="006F5319"/>
    <w:rsid w:val="006F55FD"/>
    <w:rsid w:val="006F5D21"/>
    <w:rsid w:val="00705B53"/>
    <w:rsid w:val="00711BE3"/>
    <w:rsid w:val="00724FA7"/>
    <w:rsid w:val="00725415"/>
    <w:rsid w:val="00727505"/>
    <w:rsid w:val="00731581"/>
    <w:rsid w:val="00741B9E"/>
    <w:rsid w:val="00743DAC"/>
    <w:rsid w:val="0075337B"/>
    <w:rsid w:val="00755CD4"/>
    <w:rsid w:val="00757F96"/>
    <w:rsid w:val="00773E3E"/>
    <w:rsid w:val="00785285"/>
    <w:rsid w:val="0078529D"/>
    <w:rsid w:val="00787DC1"/>
    <w:rsid w:val="00794070"/>
    <w:rsid w:val="007A713B"/>
    <w:rsid w:val="007B64E5"/>
    <w:rsid w:val="007C2F04"/>
    <w:rsid w:val="007D5C0F"/>
    <w:rsid w:val="007F5B8B"/>
    <w:rsid w:val="00817E9A"/>
    <w:rsid w:val="00830D57"/>
    <w:rsid w:val="008462B1"/>
    <w:rsid w:val="00860B07"/>
    <w:rsid w:val="008616F6"/>
    <w:rsid w:val="0086259C"/>
    <w:rsid w:val="00883F24"/>
    <w:rsid w:val="00897E1F"/>
    <w:rsid w:val="008B2CB4"/>
    <w:rsid w:val="008B35D6"/>
    <w:rsid w:val="008B6404"/>
    <w:rsid w:val="008C2C21"/>
    <w:rsid w:val="008C7DD3"/>
    <w:rsid w:val="008E000B"/>
    <w:rsid w:val="008E2926"/>
    <w:rsid w:val="008E35C6"/>
    <w:rsid w:val="008E3F49"/>
    <w:rsid w:val="008F1729"/>
    <w:rsid w:val="008F243B"/>
    <w:rsid w:val="008F4675"/>
    <w:rsid w:val="008F4BFA"/>
    <w:rsid w:val="00904A66"/>
    <w:rsid w:val="009074D0"/>
    <w:rsid w:val="0092287F"/>
    <w:rsid w:val="0092495B"/>
    <w:rsid w:val="0092660E"/>
    <w:rsid w:val="00936519"/>
    <w:rsid w:val="00941DA3"/>
    <w:rsid w:val="009425E5"/>
    <w:rsid w:val="00942C0C"/>
    <w:rsid w:val="009500BE"/>
    <w:rsid w:val="009539E3"/>
    <w:rsid w:val="00954687"/>
    <w:rsid w:val="00954A5E"/>
    <w:rsid w:val="009551B2"/>
    <w:rsid w:val="00964625"/>
    <w:rsid w:val="00981C1D"/>
    <w:rsid w:val="0099109C"/>
    <w:rsid w:val="009936DB"/>
    <w:rsid w:val="00993CFC"/>
    <w:rsid w:val="00995047"/>
    <w:rsid w:val="009A168C"/>
    <w:rsid w:val="009A1DC2"/>
    <w:rsid w:val="009C0914"/>
    <w:rsid w:val="009C27E5"/>
    <w:rsid w:val="009D71E8"/>
    <w:rsid w:val="009E104B"/>
    <w:rsid w:val="009E7DE4"/>
    <w:rsid w:val="009F3BBD"/>
    <w:rsid w:val="00A063DD"/>
    <w:rsid w:val="00A112B5"/>
    <w:rsid w:val="00A14EEA"/>
    <w:rsid w:val="00A44FBB"/>
    <w:rsid w:val="00A468BE"/>
    <w:rsid w:val="00A50104"/>
    <w:rsid w:val="00A522E0"/>
    <w:rsid w:val="00A63579"/>
    <w:rsid w:val="00A638AC"/>
    <w:rsid w:val="00A727E5"/>
    <w:rsid w:val="00A748B5"/>
    <w:rsid w:val="00A80A32"/>
    <w:rsid w:val="00A82A98"/>
    <w:rsid w:val="00A82D16"/>
    <w:rsid w:val="00A95F75"/>
    <w:rsid w:val="00A96B83"/>
    <w:rsid w:val="00AA355B"/>
    <w:rsid w:val="00AA42E5"/>
    <w:rsid w:val="00AA79A1"/>
    <w:rsid w:val="00AB24FA"/>
    <w:rsid w:val="00AB5A2E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572C4"/>
    <w:rsid w:val="00B60858"/>
    <w:rsid w:val="00B613B3"/>
    <w:rsid w:val="00B74D4E"/>
    <w:rsid w:val="00B80219"/>
    <w:rsid w:val="00B85CDA"/>
    <w:rsid w:val="00BA19A5"/>
    <w:rsid w:val="00BB1B9A"/>
    <w:rsid w:val="00BC0A69"/>
    <w:rsid w:val="00BC67F6"/>
    <w:rsid w:val="00BD2004"/>
    <w:rsid w:val="00BD4B12"/>
    <w:rsid w:val="00BE2AF3"/>
    <w:rsid w:val="00BE2F92"/>
    <w:rsid w:val="00BF0D5F"/>
    <w:rsid w:val="00C11D9E"/>
    <w:rsid w:val="00C11EB4"/>
    <w:rsid w:val="00C12746"/>
    <w:rsid w:val="00C25827"/>
    <w:rsid w:val="00C31BB8"/>
    <w:rsid w:val="00C34F73"/>
    <w:rsid w:val="00C373EA"/>
    <w:rsid w:val="00C41D4A"/>
    <w:rsid w:val="00C540C5"/>
    <w:rsid w:val="00C621C1"/>
    <w:rsid w:val="00C62989"/>
    <w:rsid w:val="00C65CBB"/>
    <w:rsid w:val="00C80F37"/>
    <w:rsid w:val="00C835E6"/>
    <w:rsid w:val="00C97A7F"/>
    <w:rsid w:val="00CB5B17"/>
    <w:rsid w:val="00CC4443"/>
    <w:rsid w:val="00CC5CAF"/>
    <w:rsid w:val="00D06874"/>
    <w:rsid w:val="00D173F7"/>
    <w:rsid w:val="00D20203"/>
    <w:rsid w:val="00D204E0"/>
    <w:rsid w:val="00D21354"/>
    <w:rsid w:val="00D22400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AF4"/>
    <w:rsid w:val="00DB0C60"/>
    <w:rsid w:val="00DC641A"/>
    <w:rsid w:val="00DD6B7D"/>
    <w:rsid w:val="00DD6E14"/>
    <w:rsid w:val="00DE15AC"/>
    <w:rsid w:val="00E061EC"/>
    <w:rsid w:val="00E13E51"/>
    <w:rsid w:val="00E178D2"/>
    <w:rsid w:val="00E32F3D"/>
    <w:rsid w:val="00E43EAD"/>
    <w:rsid w:val="00E47956"/>
    <w:rsid w:val="00E535BE"/>
    <w:rsid w:val="00E62DCB"/>
    <w:rsid w:val="00E651DD"/>
    <w:rsid w:val="00E66558"/>
    <w:rsid w:val="00E70D81"/>
    <w:rsid w:val="00E726A6"/>
    <w:rsid w:val="00E82A4E"/>
    <w:rsid w:val="00E86F05"/>
    <w:rsid w:val="00EA3A2A"/>
    <w:rsid w:val="00EB4556"/>
    <w:rsid w:val="00EB64C8"/>
    <w:rsid w:val="00ED5108"/>
    <w:rsid w:val="00EE38AE"/>
    <w:rsid w:val="00F012CA"/>
    <w:rsid w:val="00F01752"/>
    <w:rsid w:val="00F0355A"/>
    <w:rsid w:val="00F24A7E"/>
    <w:rsid w:val="00F33DC0"/>
    <w:rsid w:val="00F62587"/>
    <w:rsid w:val="00F63E9E"/>
    <w:rsid w:val="00F76843"/>
    <w:rsid w:val="00F776E1"/>
    <w:rsid w:val="00F925EB"/>
    <w:rsid w:val="00FA6DD0"/>
    <w:rsid w:val="00FC28DF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7956"/>
    <w:pPr>
      <w:suppressAutoHyphens/>
    </w:pPr>
    <w:rPr>
      <w:color w:val="0D0D0D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73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tm.org.uk/teaching-for-mastery/mastery-explained/supporting-research-evidence-and-argument/" TargetMode="External"/><Relationship Id="rId13" Type="http://schemas.openxmlformats.org/officeDocument/2006/relationships/hyperlink" Target="https://educationendowmentfoundation.org.uk/education-evidence/guidance-reports/supporting-parents" TargetMode="External"/><Relationship Id="rId18" Type="http://schemas.openxmlformats.org/officeDocument/2006/relationships/hyperlink" Target="https://educationendowmentfoundation.org.uk/projects-and-evaluation/projects/magic-breakfast?utm_source=/projects-and-evaluation/projects/magic-breakfast&amp;utm_medium=search&amp;utm_campaign=site_search&amp;search_term=breakfa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etm.org.uk/maths-hubs/" TargetMode="External"/><Relationship Id="rId12" Type="http://schemas.openxmlformats.org/officeDocument/2006/relationships/hyperlink" Target="https://educationendowmentfoundation.org.uk/education-evidence/teaching-learning-toolkit/parental-engagement" TargetMode="External"/><Relationship Id="rId17" Type="http://schemas.openxmlformats.org/officeDocument/2006/relationships/hyperlink" Target="https://educationendowmentfoundation.org.uk/education-evidence/guidance-reports/supporting-par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endowmentfoundation.org.uk/education-evidence/teaching-learning-toolkit/parental-engageme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endowmentfoundation.org.uk/public/files/Publications/SEL/EEF_Social_and_Emotional_Learn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ationendowmentfoundation.org.uk/education-evidence/teaching-learning-toolkit/small-group-tuition?utm_source=/education-evidence/teaching-learning-toolkit/small-group-tuition&amp;utm_medium=search&amp;utm_campaign=site_search&amp;search_term=small%20grou" TargetMode="External"/><Relationship Id="rId10" Type="http://schemas.openxmlformats.org/officeDocument/2006/relationships/hyperlink" Target="https://www.nurtureuk.org/research-evidence/international-journal-of-nurture-in-education/" TargetMode="External"/><Relationship Id="rId19" Type="http://schemas.openxmlformats.org/officeDocument/2006/relationships/hyperlink" Target="https://educationendowmentfoundation.org.uk/education-evidence/guidance-reports/supporting-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igmamathshub.co.uk/wp-content/uploads/2022/10/Rosenshine-and-TfM-Primary-1.pdf" TargetMode="External"/><Relationship Id="rId14" Type="http://schemas.openxmlformats.org/officeDocument/2006/relationships/hyperlink" Target="https://educationendowmentfoundation.org.uk/guidance-for-teachers/using-pupil-premiu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Louise SUMMERS</cp:lastModifiedBy>
  <cp:revision>8</cp:revision>
  <cp:lastPrinted>2014-09-17T21:26:00Z</cp:lastPrinted>
  <dcterms:created xsi:type="dcterms:W3CDTF">2023-10-29T13:00:00Z</dcterms:created>
  <dcterms:modified xsi:type="dcterms:W3CDTF">2025-02-24T13:58:00Z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