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4"/>
        <w:gridCol w:w="1383"/>
        <w:gridCol w:w="556"/>
        <w:gridCol w:w="1910"/>
        <w:gridCol w:w="3631"/>
        <w:gridCol w:w="2854"/>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5E7EAEE4"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0E20D0">
              <w:rPr>
                <w:rFonts w:cs="Calibri"/>
                <w:b/>
                <w:sz w:val="24"/>
                <w:szCs w:val="24"/>
              </w:rPr>
              <w:t xml:space="preserve"> </w:t>
            </w:r>
            <w:r w:rsidR="00B34399"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14:paraId="7889362E" w14:textId="77777777" w:rsidTr="00F55C07">
        <w:trPr>
          <w:trHeight w:val="1088"/>
        </w:trPr>
        <w:tc>
          <w:tcPr>
            <w:tcW w:w="14283" w:type="dxa"/>
            <w:gridSpan w:val="7"/>
            <w:shd w:val="clear" w:color="auto" w:fill="EDF0E7" w:themeFill="accent3" w:themeFillTint="33"/>
          </w:tcPr>
          <w:p w14:paraId="7435FCA7" w14:textId="77777777" w:rsidR="005C1FF5" w:rsidRDefault="003B4ECA" w:rsidP="004C463B">
            <w:pPr>
              <w:pStyle w:val="NoSpacing"/>
              <w:rPr>
                <w:rFonts w:cs="Calibri"/>
                <w:b/>
                <w:sz w:val="24"/>
                <w:szCs w:val="24"/>
              </w:rPr>
            </w:pPr>
            <w:r>
              <w:rPr>
                <w:rFonts w:cs="Calibri"/>
                <w:b/>
                <w:sz w:val="24"/>
                <w:szCs w:val="24"/>
              </w:rPr>
              <w:t xml:space="preserve">Please state the </w:t>
            </w:r>
            <w:r w:rsidR="008337FA">
              <w:rPr>
                <w:rFonts w:cs="Calibri"/>
                <w:b/>
                <w:sz w:val="24"/>
                <w:szCs w:val="24"/>
              </w:rPr>
              <w:t>benefit</w:t>
            </w:r>
            <w:r>
              <w:rPr>
                <w:rFonts w:cs="Calibri"/>
                <w:b/>
                <w:sz w:val="24"/>
                <w:szCs w:val="24"/>
              </w:rPr>
              <w:t>s</w:t>
            </w:r>
            <w:r w:rsidR="008337FA">
              <w:rPr>
                <w:rFonts w:cs="Calibri"/>
                <w:b/>
                <w:sz w:val="24"/>
                <w:szCs w:val="24"/>
              </w:rPr>
              <w:t xml:space="preserve"> to the children of offering this experience</w:t>
            </w:r>
            <w:r w:rsidR="005C1FF5" w:rsidRPr="00D16865">
              <w:rPr>
                <w:rFonts w:cs="Calibri"/>
                <w:b/>
                <w:sz w:val="24"/>
                <w:szCs w:val="24"/>
              </w:rPr>
              <w:t>?</w:t>
            </w:r>
          </w:p>
          <w:p w14:paraId="562A87B4" w14:textId="6CB22AE9" w:rsidR="008667CE" w:rsidRPr="0077574D" w:rsidRDefault="000E20D0" w:rsidP="004C463B">
            <w:pPr>
              <w:pStyle w:val="NoSpacing"/>
              <w:rPr>
                <w:rFonts w:cs="Calibri"/>
                <w:sz w:val="20"/>
                <w:szCs w:val="20"/>
              </w:rPr>
            </w:pPr>
            <w:r w:rsidRPr="0077574D">
              <w:rPr>
                <w:rFonts w:cs="Calibri"/>
                <w:sz w:val="20"/>
                <w:szCs w:val="20"/>
              </w:rPr>
              <w:t>By gathering and using natural materials children become more aware of their surroundings and feel a connection to nature. Children are able to make choices, selecting materials appropriate to their needs</w:t>
            </w:r>
            <w:r w:rsidR="0077574D" w:rsidRPr="0077574D">
              <w:rPr>
                <w:rFonts w:cs="Calibri"/>
                <w:sz w:val="20"/>
                <w:szCs w:val="20"/>
              </w:rPr>
              <w:t xml:space="preserve"> and for a purpose, building self-confidence and managing their own risks. Use of natural materials is a </w:t>
            </w:r>
            <w:r w:rsidR="004E04E2" w:rsidRPr="0077574D">
              <w:rPr>
                <w:rFonts w:cs="Calibri"/>
                <w:sz w:val="20"/>
                <w:szCs w:val="20"/>
              </w:rPr>
              <w:t>multi-sensory</w:t>
            </w:r>
            <w:r w:rsidR="0077574D" w:rsidRPr="0077574D">
              <w:rPr>
                <w:rFonts w:cs="Calibri"/>
                <w:sz w:val="20"/>
                <w:szCs w:val="20"/>
              </w:rPr>
              <w:t xml:space="preserve"> activity and can be a rewarding and tactile experience.</w:t>
            </w:r>
          </w:p>
          <w:p w14:paraId="38A4FA1B" w14:textId="77777777" w:rsidR="007F3ED1" w:rsidRPr="0077574D" w:rsidRDefault="007F3ED1" w:rsidP="004C463B">
            <w:pPr>
              <w:pStyle w:val="NoSpacing"/>
              <w:rPr>
                <w:rFonts w:cs="Calibri"/>
                <w:sz w:val="20"/>
                <w:szCs w:val="20"/>
              </w:rPr>
            </w:pPr>
          </w:p>
          <w:p w14:paraId="2C1B9EFF" w14:textId="77777777" w:rsidR="005F07E3" w:rsidRDefault="005F07E3" w:rsidP="004C463B">
            <w:pPr>
              <w:pStyle w:val="NoSpacing"/>
              <w:rPr>
                <w:rFonts w:cs="Calibri"/>
                <w:b/>
                <w:sz w:val="24"/>
                <w:szCs w:val="24"/>
              </w:rPr>
            </w:pPr>
          </w:p>
          <w:p w14:paraId="3AAF7786" w14:textId="77777777" w:rsidR="005F07E3" w:rsidRPr="00D16865" w:rsidRDefault="005F07E3" w:rsidP="004C463B">
            <w:pPr>
              <w:pStyle w:val="NoSpacing"/>
              <w:rPr>
                <w:rFonts w:cs="Calibri"/>
                <w:b/>
                <w:sz w:val="24"/>
                <w:szCs w:val="24"/>
              </w:rPr>
            </w:pPr>
          </w:p>
        </w:tc>
      </w:tr>
      <w:tr w:rsidR="005C1FF5" w:rsidRPr="00E76786" w14:paraId="7381DB70" w14:textId="77777777" w:rsidTr="00F55C07">
        <w:tc>
          <w:tcPr>
            <w:tcW w:w="3734"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119"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30"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77777777" w:rsidR="005C1FF5" w:rsidRDefault="005C1FF5" w:rsidP="004C463B">
            <w:pPr>
              <w:pStyle w:val="NoSpacing"/>
              <w:rPr>
                <w:rFonts w:ascii="Calibri" w:hAnsi="Calibri" w:cs="Calibri"/>
                <w:sz w:val="20"/>
                <w:szCs w:val="20"/>
              </w:rPr>
            </w:pPr>
            <w:r>
              <w:rPr>
                <w:rFonts w:ascii="Calibri" w:hAnsi="Calibri" w:cs="Calibri"/>
                <w:sz w:val="20"/>
                <w:szCs w:val="20"/>
              </w:rPr>
              <w:t xml:space="preserve">Our company will not be carrying out any activities deemed to have </w:t>
            </w:r>
            <w:r w:rsidRPr="003B4ECA">
              <w:rPr>
                <w:rFonts w:ascii="Calibri" w:hAnsi="Calibri" w:cs="Calibri"/>
                <w:b/>
                <w:sz w:val="20"/>
                <w:szCs w:val="20"/>
              </w:rPr>
              <w:t>a revised rating of over 12</w:t>
            </w:r>
            <w:r>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6757B3">
        <w:tc>
          <w:tcPr>
            <w:tcW w:w="2349"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43"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2"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520"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559"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6757B3">
        <w:tc>
          <w:tcPr>
            <w:tcW w:w="2349" w:type="dxa"/>
            <w:shd w:val="clear" w:color="auto" w:fill="EDF0E7" w:themeFill="accent3" w:themeFillTint="33"/>
          </w:tcPr>
          <w:p w14:paraId="2265191D" w14:textId="74C7A233" w:rsidR="005C1FF5" w:rsidRPr="004E04E2" w:rsidRDefault="00952E32" w:rsidP="004C463B">
            <w:pPr>
              <w:pStyle w:val="NoSpacing"/>
              <w:rPr>
                <w:rFonts w:cs="Calibri"/>
                <w:sz w:val="20"/>
                <w:szCs w:val="20"/>
              </w:rPr>
            </w:pPr>
            <w:r>
              <w:rPr>
                <w:rFonts w:cs="Calibri"/>
                <w:sz w:val="20"/>
                <w:szCs w:val="20"/>
              </w:rPr>
              <w:t>Hazardous plants</w:t>
            </w:r>
          </w:p>
          <w:p w14:paraId="1B813E4F" w14:textId="77777777" w:rsidR="005C1FF5" w:rsidRPr="004E04E2" w:rsidRDefault="005C1FF5" w:rsidP="004C463B">
            <w:pPr>
              <w:pStyle w:val="NoSpacing"/>
              <w:rPr>
                <w:rFonts w:cs="Calibri"/>
                <w:sz w:val="20"/>
                <w:szCs w:val="20"/>
              </w:rPr>
            </w:pPr>
          </w:p>
        </w:tc>
        <w:tc>
          <w:tcPr>
            <w:tcW w:w="1943" w:type="dxa"/>
            <w:gridSpan w:val="2"/>
            <w:shd w:val="clear" w:color="auto" w:fill="EDF0E7" w:themeFill="accent3" w:themeFillTint="33"/>
          </w:tcPr>
          <w:p w14:paraId="2C4FFF27" w14:textId="7B98C0D0" w:rsidR="005C1FF5" w:rsidRDefault="00BC6799" w:rsidP="004C463B">
            <w:pPr>
              <w:pStyle w:val="NoSpacing"/>
              <w:rPr>
                <w:rFonts w:cs="Calibri"/>
                <w:sz w:val="20"/>
                <w:szCs w:val="20"/>
              </w:rPr>
            </w:pPr>
            <w:r>
              <w:rPr>
                <w:rFonts w:cs="Calibri"/>
                <w:sz w:val="20"/>
                <w:szCs w:val="20"/>
              </w:rPr>
              <w:t xml:space="preserve">Major accident – </w:t>
            </w:r>
          </w:p>
          <w:p w14:paraId="48402F32" w14:textId="66E507F1" w:rsidR="00BC6799" w:rsidRPr="004E04E2" w:rsidRDefault="00BC6799" w:rsidP="004C463B">
            <w:pPr>
              <w:pStyle w:val="NoSpacing"/>
              <w:rPr>
                <w:rFonts w:cs="Calibri"/>
                <w:sz w:val="20"/>
                <w:szCs w:val="20"/>
              </w:rPr>
            </w:pPr>
            <w:r>
              <w:rPr>
                <w:rFonts w:cs="Calibri"/>
                <w:sz w:val="20"/>
                <w:szCs w:val="20"/>
              </w:rPr>
              <w:t>Rash, swelling, irritation to skin or eyes,</w:t>
            </w:r>
            <w:r w:rsidR="00052D67">
              <w:rPr>
                <w:rFonts w:cs="Calibri"/>
                <w:sz w:val="20"/>
                <w:szCs w:val="20"/>
              </w:rPr>
              <w:t xml:space="preserve"> blisters,</w:t>
            </w:r>
            <w:r>
              <w:rPr>
                <w:rFonts w:cs="Calibri"/>
                <w:sz w:val="20"/>
                <w:szCs w:val="20"/>
              </w:rPr>
              <w:t xml:space="preserve"> poisoning, anaphylaxis, death</w:t>
            </w:r>
          </w:p>
        </w:tc>
        <w:tc>
          <w:tcPr>
            <w:tcW w:w="1912" w:type="dxa"/>
            <w:shd w:val="clear" w:color="auto" w:fill="EDF0E7" w:themeFill="accent3" w:themeFillTint="33"/>
          </w:tcPr>
          <w:p w14:paraId="615F6A7A" w14:textId="30808492" w:rsidR="005C1FF5" w:rsidRPr="004E04E2" w:rsidRDefault="00BC6799" w:rsidP="004C463B">
            <w:pPr>
              <w:pStyle w:val="NoSpacing"/>
              <w:rPr>
                <w:rFonts w:cs="Calibri"/>
                <w:sz w:val="20"/>
                <w:szCs w:val="20"/>
              </w:rPr>
            </w:pPr>
            <w:r>
              <w:rPr>
                <w:rFonts w:cs="Calibri"/>
                <w:sz w:val="20"/>
                <w:szCs w:val="20"/>
              </w:rPr>
              <w:t>5x5=25</w:t>
            </w:r>
          </w:p>
        </w:tc>
        <w:tc>
          <w:tcPr>
            <w:tcW w:w="6520" w:type="dxa"/>
            <w:gridSpan w:val="2"/>
            <w:shd w:val="clear" w:color="auto" w:fill="EDF0E7" w:themeFill="accent3" w:themeFillTint="33"/>
          </w:tcPr>
          <w:p w14:paraId="39915593" w14:textId="77777777" w:rsidR="00B867FD" w:rsidRDefault="00B867FD" w:rsidP="00B867FD">
            <w:pPr>
              <w:pStyle w:val="NoSpacing"/>
              <w:rPr>
                <w:rFonts w:cs="Calibri"/>
                <w:sz w:val="20"/>
                <w:szCs w:val="20"/>
              </w:rPr>
            </w:pPr>
            <w:r>
              <w:rPr>
                <w:rFonts w:cs="Calibri"/>
                <w:sz w:val="20"/>
                <w:szCs w:val="20"/>
              </w:rPr>
              <w:t>OLT to carry out site survey and identify any hazardous plants. CT to be responsible for checking with OLT to be advised.</w:t>
            </w:r>
          </w:p>
          <w:p w14:paraId="11210392" w14:textId="03856A9E" w:rsidR="00BC6799" w:rsidRDefault="00BC6799" w:rsidP="00BC6799">
            <w:pPr>
              <w:pStyle w:val="NoSpacing"/>
              <w:rPr>
                <w:rFonts w:cs="Calibri"/>
                <w:sz w:val="20"/>
                <w:szCs w:val="20"/>
              </w:rPr>
            </w:pPr>
            <w:r>
              <w:rPr>
                <w:rFonts w:cs="Calibri"/>
                <w:sz w:val="20"/>
                <w:szCs w:val="20"/>
              </w:rPr>
              <w:t>Safety talk to show children where hazardous plants are.</w:t>
            </w:r>
          </w:p>
          <w:p w14:paraId="3A92A320" w14:textId="77777777" w:rsidR="00BC6799" w:rsidRDefault="00BC6799" w:rsidP="00BC6799">
            <w:pPr>
              <w:pStyle w:val="NoSpacing"/>
              <w:rPr>
                <w:rFonts w:cs="Calibri"/>
                <w:sz w:val="20"/>
                <w:szCs w:val="20"/>
              </w:rPr>
            </w:pPr>
            <w:r>
              <w:rPr>
                <w:rFonts w:cs="Calibri"/>
                <w:sz w:val="20"/>
                <w:szCs w:val="20"/>
              </w:rPr>
              <w:t>Visual and written aids used to help children identify poisonous plants and berries.</w:t>
            </w:r>
          </w:p>
          <w:p w14:paraId="2688C71D" w14:textId="77777777" w:rsidR="00BC6799" w:rsidRDefault="00BC6799" w:rsidP="00BC6799">
            <w:pPr>
              <w:pStyle w:val="NoSpacing"/>
              <w:rPr>
                <w:rFonts w:cs="Calibri"/>
                <w:sz w:val="20"/>
                <w:szCs w:val="20"/>
              </w:rPr>
            </w:pPr>
            <w:r>
              <w:rPr>
                <w:rFonts w:cs="Calibri"/>
                <w:sz w:val="20"/>
                <w:szCs w:val="20"/>
              </w:rPr>
              <w:t>All teaching staff to be aware of any allergies of participants.</w:t>
            </w:r>
          </w:p>
          <w:p w14:paraId="684B57C2" w14:textId="1E06245F" w:rsidR="00BC6799" w:rsidRDefault="00BC6799" w:rsidP="00BC6799">
            <w:pPr>
              <w:pStyle w:val="NoSpacing"/>
              <w:rPr>
                <w:rFonts w:cs="Calibri"/>
                <w:sz w:val="20"/>
                <w:szCs w:val="20"/>
              </w:rPr>
            </w:pPr>
            <w:r>
              <w:rPr>
                <w:rFonts w:cs="Calibri"/>
                <w:sz w:val="20"/>
                <w:szCs w:val="20"/>
              </w:rPr>
              <w:t xml:space="preserve">All teaching staff to remind children that they are not to put any plant parts in their mouth or to eat them, unless told it is ok to by the </w:t>
            </w:r>
            <w:r w:rsidR="00B867FD">
              <w:rPr>
                <w:rFonts w:cs="Calibri"/>
                <w:sz w:val="20"/>
                <w:szCs w:val="20"/>
              </w:rPr>
              <w:t>CT</w:t>
            </w:r>
            <w:r>
              <w:rPr>
                <w:rFonts w:cs="Calibri"/>
                <w:sz w:val="20"/>
                <w:szCs w:val="20"/>
              </w:rPr>
              <w:t>.</w:t>
            </w:r>
          </w:p>
          <w:p w14:paraId="2D729E78" w14:textId="77777777" w:rsidR="00BC6799" w:rsidRDefault="00BC6799" w:rsidP="00BC6799">
            <w:pPr>
              <w:pStyle w:val="NoSpacing"/>
              <w:rPr>
                <w:rFonts w:cs="Calibri"/>
                <w:sz w:val="20"/>
                <w:szCs w:val="20"/>
              </w:rPr>
            </w:pPr>
            <w:r>
              <w:rPr>
                <w:rFonts w:cs="Calibri"/>
                <w:sz w:val="20"/>
                <w:szCs w:val="20"/>
              </w:rPr>
              <w:lastRenderedPageBreak/>
              <w:t>Hand washing facilities available at all times.</w:t>
            </w:r>
          </w:p>
          <w:p w14:paraId="2484B7F1" w14:textId="21363823" w:rsidR="005C1FF5" w:rsidRPr="004E04E2" w:rsidRDefault="00BC6799" w:rsidP="00BC6799">
            <w:pPr>
              <w:pStyle w:val="NoSpacing"/>
              <w:rPr>
                <w:rFonts w:cs="Calibri"/>
                <w:sz w:val="20"/>
                <w:szCs w:val="20"/>
              </w:rPr>
            </w:pPr>
            <w:r>
              <w:rPr>
                <w:rFonts w:cs="Calibri"/>
                <w:sz w:val="20"/>
                <w:szCs w:val="20"/>
              </w:rPr>
              <w:t>Children encouraged to wash hands before eating.</w:t>
            </w:r>
          </w:p>
        </w:tc>
        <w:tc>
          <w:tcPr>
            <w:tcW w:w="1559" w:type="dxa"/>
            <w:shd w:val="clear" w:color="auto" w:fill="EDF0E7" w:themeFill="accent3" w:themeFillTint="33"/>
          </w:tcPr>
          <w:p w14:paraId="1291686D" w14:textId="1305F718" w:rsidR="005C1FF5" w:rsidRPr="004E04E2" w:rsidRDefault="00052D67" w:rsidP="004C463B">
            <w:pPr>
              <w:pStyle w:val="NoSpacing"/>
              <w:rPr>
                <w:rFonts w:cs="Calibri"/>
                <w:sz w:val="20"/>
                <w:szCs w:val="20"/>
              </w:rPr>
            </w:pPr>
            <w:r>
              <w:rPr>
                <w:rFonts w:cs="Calibri"/>
                <w:sz w:val="20"/>
                <w:szCs w:val="20"/>
              </w:rPr>
              <w:lastRenderedPageBreak/>
              <w:t>1x5=5</w:t>
            </w:r>
          </w:p>
        </w:tc>
      </w:tr>
      <w:tr w:rsidR="005C1FF5" w14:paraId="0C88B235" w14:textId="77777777" w:rsidTr="006757B3">
        <w:tc>
          <w:tcPr>
            <w:tcW w:w="2349" w:type="dxa"/>
            <w:shd w:val="clear" w:color="auto" w:fill="EDF0E7" w:themeFill="accent3" w:themeFillTint="33"/>
          </w:tcPr>
          <w:p w14:paraId="4D822DEE" w14:textId="1D79AE36" w:rsidR="005C1FF5" w:rsidRPr="004E04E2" w:rsidRDefault="00052D67" w:rsidP="004C463B">
            <w:pPr>
              <w:pStyle w:val="NoSpacing"/>
              <w:rPr>
                <w:rFonts w:cs="Calibri"/>
                <w:sz w:val="20"/>
                <w:szCs w:val="20"/>
              </w:rPr>
            </w:pPr>
            <w:r>
              <w:rPr>
                <w:rFonts w:cs="Calibri"/>
                <w:sz w:val="20"/>
                <w:szCs w:val="20"/>
              </w:rPr>
              <w:t>Insect bites and stings / animal bites</w:t>
            </w:r>
            <w:r w:rsidR="00291435">
              <w:rPr>
                <w:rFonts w:cs="Calibri"/>
                <w:sz w:val="20"/>
                <w:szCs w:val="20"/>
              </w:rPr>
              <w:t xml:space="preserve"> / ticks</w:t>
            </w:r>
          </w:p>
          <w:p w14:paraId="1628EC97" w14:textId="77777777" w:rsidR="005C1FF5" w:rsidRPr="004E04E2" w:rsidRDefault="005C1FF5" w:rsidP="004C463B">
            <w:pPr>
              <w:pStyle w:val="NoSpacing"/>
              <w:rPr>
                <w:rFonts w:cs="Calibri"/>
                <w:sz w:val="20"/>
                <w:szCs w:val="20"/>
              </w:rPr>
            </w:pPr>
          </w:p>
        </w:tc>
        <w:tc>
          <w:tcPr>
            <w:tcW w:w="1943" w:type="dxa"/>
            <w:gridSpan w:val="2"/>
            <w:shd w:val="clear" w:color="auto" w:fill="EDF0E7" w:themeFill="accent3" w:themeFillTint="33"/>
          </w:tcPr>
          <w:p w14:paraId="34986ED7" w14:textId="77777777" w:rsidR="00602CBD" w:rsidRDefault="00602CBD" w:rsidP="00602CBD">
            <w:pPr>
              <w:pStyle w:val="NoSpacing"/>
              <w:rPr>
                <w:rFonts w:cs="Calibri"/>
                <w:sz w:val="20"/>
                <w:szCs w:val="20"/>
              </w:rPr>
            </w:pPr>
            <w:r>
              <w:rPr>
                <w:rFonts w:cs="Calibri"/>
                <w:sz w:val="20"/>
                <w:szCs w:val="20"/>
              </w:rPr>
              <w:t xml:space="preserve">Major accident – </w:t>
            </w:r>
          </w:p>
          <w:p w14:paraId="3B090A43" w14:textId="56E10CAA" w:rsidR="005C1FF5" w:rsidRPr="004E04E2" w:rsidRDefault="00602CBD" w:rsidP="00602CBD">
            <w:pPr>
              <w:pStyle w:val="NoSpacing"/>
              <w:rPr>
                <w:rFonts w:cs="Calibri"/>
                <w:sz w:val="20"/>
                <w:szCs w:val="20"/>
              </w:rPr>
            </w:pPr>
            <w:r>
              <w:rPr>
                <w:rFonts w:cs="Calibri"/>
                <w:sz w:val="20"/>
                <w:szCs w:val="20"/>
              </w:rPr>
              <w:t>Rash, swelling, bites, cuts, anaphylaxis, death</w:t>
            </w:r>
          </w:p>
        </w:tc>
        <w:tc>
          <w:tcPr>
            <w:tcW w:w="1912" w:type="dxa"/>
            <w:shd w:val="clear" w:color="auto" w:fill="EDF0E7" w:themeFill="accent3" w:themeFillTint="33"/>
          </w:tcPr>
          <w:p w14:paraId="64DB8906" w14:textId="12AFB871" w:rsidR="005C1FF5" w:rsidRPr="004E04E2" w:rsidRDefault="00602CBD" w:rsidP="004C463B">
            <w:pPr>
              <w:pStyle w:val="NoSpacing"/>
              <w:rPr>
                <w:rFonts w:cs="Calibri"/>
                <w:sz w:val="20"/>
                <w:szCs w:val="20"/>
              </w:rPr>
            </w:pPr>
            <w:r>
              <w:rPr>
                <w:rFonts w:cs="Calibri"/>
                <w:sz w:val="20"/>
                <w:szCs w:val="20"/>
              </w:rPr>
              <w:t>5x5=25</w:t>
            </w:r>
          </w:p>
        </w:tc>
        <w:tc>
          <w:tcPr>
            <w:tcW w:w="6520" w:type="dxa"/>
            <w:gridSpan w:val="2"/>
            <w:shd w:val="clear" w:color="auto" w:fill="EDF0E7" w:themeFill="accent3" w:themeFillTint="33"/>
          </w:tcPr>
          <w:p w14:paraId="48F33F3D" w14:textId="3D9236E4" w:rsidR="00602CBD" w:rsidRDefault="00B867FD" w:rsidP="00602CBD">
            <w:pPr>
              <w:pStyle w:val="NoSpacing"/>
              <w:rPr>
                <w:rFonts w:cs="Calibri"/>
                <w:sz w:val="20"/>
                <w:szCs w:val="20"/>
              </w:rPr>
            </w:pPr>
            <w:r>
              <w:rPr>
                <w:rFonts w:cs="Calibri"/>
                <w:sz w:val="20"/>
                <w:szCs w:val="20"/>
              </w:rPr>
              <w:t>CT</w:t>
            </w:r>
            <w:r w:rsidR="00602CBD">
              <w:rPr>
                <w:rFonts w:cs="Calibri"/>
                <w:sz w:val="20"/>
                <w:szCs w:val="20"/>
              </w:rPr>
              <w:t xml:space="preserve"> to check site before the </w:t>
            </w:r>
            <w:r>
              <w:rPr>
                <w:rFonts w:cs="Calibri"/>
                <w:sz w:val="20"/>
                <w:szCs w:val="20"/>
              </w:rPr>
              <w:t>OL</w:t>
            </w:r>
            <w:r w:rsidR="00602CBD">
              <w:rPr>
                <w:rFonts w:cs="Calibri"/>
                <w:sz w:val="20"/>
                <w:szCs w:val="20"/>
              </w:rPr>
              <w:t xml:space="preserve"> session for obvious signs of any nests; birds, wasps, ants or other insects, mice, rats, snakes.</w:t>
            </w:r>
          </w:p>
          <w:p w14:paraId="36CDEC3D" w14:textId="16BA0C94" w:rsidR="00602CBD" w:rsidRDefault="00602CBD" w:rsidP="00602CBD">
            <w:pPr>
              <w:pStyle w:val="NoSpacing"/>
              <w:rPr>
                <w:rFonts w:cs="Calibri"/>
                <w:sz w:val="20"/>
                <w:szCs w:val="20"/>
              </w:rPr>
            </w:pPr>
            <w:r>
              <w:rPr>
                <w:rFonts w:cs="Calibri"/>
                <w:sz w:val="20"/>
                <w:szCs w:val="20"/>
              </w:rPr>
              <w:t xml:space="preserve">Safety talk to remind children to avoid nests and </w:t>
            </w:r>
            <w:r w:rsidR="000D0D93">
              <w:rPr>
                <w:rFonts w:cs="Calibri"/>
                <w:sz w:val="20"/>
                <w:szCs w:val="20"/>
              </w:rPr>
              <w:t>creatures and</w:t>
            </w:r>
            <w:r>
              <w:rPr>
                <w:rFonts w:cs="Calibri"/>
                <w:sz w:val="20"/>
                <w:szCs w:val="20"/>
              </w:rPr>
              <w:t xml:space="preserve"> to not touch or di</w:t>
            </w:r>
            <w:r w:rsidR="000D0D93">
              <w:rPr>
                <w:rFonts w:cs="Calibri"/>
                <w:sz w:val="20"/>
                <w:szCs w:val="20"/>
              </w:rPr>
              <w:t>sturb them</w:t>
            </w:r>
            <w:r w:rsidR="0008336E">
              <w:rPr>
                <w:rFonts w:cs="Calibri"/>
                <w:sz w:val="20"/>
                <w:szCs w:val="20"/>
              </w:rPr>
              <w:t>, as well as area</w:t>
            </w:r>
            <w:r w:rsidR="000D0D93">
              <w:rPr>
                <w:rFonts w:cs="Calibri"/>
                <w:sz w:val="20"/>
                <w:szCs w:val="20"/>
              </w:rPr>
              <w:t xml:space="preserve">s most likely to </w:t>
            </w:r>
            <w:r w:rsidR="0008336E">
              <w:rPr>
                <w:rFonts w:cs="Calibri"/>
                <w:sz w:val="20"/>
                <w:szCs w:val="20"/>
              </w:rPr>
              <w:t>be found.</w:t>
            </w:r>
          </w:p>
          <w:p w14:paraId="14ECBB47" w14:textId="286FBF08" w:rsidR="00602CBD" w:rsidRDefault="00602CBD" w:rsidP="00602CBD">
            <w:pPr>
              <w:pStyle w:val="NoSpacing"/>
              <w:rPr>
                <w:rFonts w:cs="Calibri"/>
                <w:sz w:val="20"/>
                <w:szCs w:val="20"/>
              </w:rPr>
            </w:pPr>
            <w:r>
              <w:rPr>
                <w:rFonts w:cs="Calibri"/>
                <w:sz w:val="20"/>
                <w:szCs w:val="20"/>
              </w:rPr>
              <w:t xml:space="preserve">Any participant with a known severe allergy to bites and stings will come to the </w:t>
            </w:r>
            <w:r w:rsidR="00B867FD">
              <w:rPr>
                <w:rFonts w:cs="Calibri"/>
                <w:sz w:val="20"/>
                <w:szCs w:val="20"/>
              </w:rPr>
              <w:t>OL</w:t>
            </w:r>
            <w:r>
              <w:rPr>
                <w:rFonts w:cs="Calibri"/>
                <w:sz w:val="20"/>
                <w:szCs w:val="20"/>
              </w:rPr>
              <w:t xml:space="preserve"> session with an in date auto injector which will be kept in the first aid area. All teaching staff will be aware of who has an auto injector and what they are allergic to for each session.</w:t>
            </w:r>
          </w:p>
          <w:p w14:paraId="157C2E9B" w14:textId="5814A069" w:rsidR="00D24B97" w:rsidRDefault="00D24B97" w:rsidP="00602CBD">
            <w:pPr>
              <w:pStyle w:val="NoSpacing"/>
              <w:rPr>
                <w:rFonts w:cs="Calibri"/>
                <w:sz w:val="20"/>
                <w:szCs w:val="20"/>
              </w:rPr>
            </w:pPr>
            <w:r>
              <w:rPr>
                <w:rFonts w:cs="Calibri"/>
                <w:sz w:val="20"/>
                <w:szCs w:val="20"/>
              </w:rPr>
              <w:t>All participants need to be wearing appropriate clothing and footwear, anyone not doing so will need to get changed or may be excluded from the activity.</w:t>
            </w:r>
          </w:p>
          <w:p w14:paraId="58D94179" w14:textId="77777777" w:rsidR="00602CBD" w:rsidRPr="00A82CBB" w:rsidRDefault="00602CBD" w:rsidP="00602CBD">
            <w:pPr>
              <w:pStyle w:val="NoSpacing"/>
              <w:rPr>
                <w:rFonts w:cs="Calibri"/>
                <w:sz w:val="20"/>
                <w:szCs w:val="20"/>
              </w:rPr>
            </w:pPr>
          </w:p>
          <w:p w14:paraId="55249F78" w14:textId="77777777" w:rsidR="005C1FF5" w:rsidRPr="004E04E2" w:rsidRDefault="005C1FF5" w:rsidP="004C463B">
            <w:pPr>
              <w:pStyle w:val="NoSpacing"/>
              <w:rPr>
                <w:rFonts w:cs="Calibri"/>
                <w:sz w:val="20"/>
                <w:szCs w:val="20"/>
              </w:rPr>
            </w:pPr>
          </w:p>
        </w:tc>
        <w:tc>
          <w:tcPr>
            <w:tcW w:w="1559" w:type="dxa"/>
            <w:shd w:val="clear" w:color="auto" w:fill="EDF0E7" w:themeFill="accent3" w:themeFillTint="33"/>
          </w:tcPr>
          <w:p w14:paraId="790694D5" w14:textId="73078B13" w:rsidR="005C1FF5" w:rsidRPr="004E04E2" w:rsidRDefault="000D0D93" w:rsidP="004C463B">
            <w:pPr>
              <w:pStyle w:val="NoSpacing"/>
              <w:rPr>
                <w:rFonts w:cs="Calibri"/>
                <w:sz w:val="20"/>
                <w:szCs w:val="20"/>
              </w:rPr>
            </w:pPr>
            <w:r>
              <w:rPr>
                <w:rFonts w:cs="Calibri"/>
                <w:sz w:val="20"/>
                <w:szCs w:val="20"/>
              </w:rPr>
              <w:t>1x5=5</w:t>
            </w:r>
          </w:p>
        </w:tc>
      </w:tr>
      <w:tr w:rsidR="005C1FF5" w14:paraId="7D6842DA" w14:textId="77777777" w:rsidTr="006757B3">
        <w:tc>
          <w:tcPr>
            <w:tcW w:w="2349" w:type="dxa"/>
            <w:shd w:val="clear" w:color="auto" w:fill="EDF0E7" w:themeFill="accent3" w:themeFillTint="33"/>
          </w:tcPr>
          <w:p w14:paraId="7329546C" w14:textId="42C0276D" w:rsidR="005C1FF5" w:rsidRPr="004E04E2" w:rsidRDefault="00E3449C" w:rsidP="004C463B">
            <w:pPr>
              <w:pStyle w:val="NoSpacing"/>
              <w:rPr>
                <w:rFonts w:cs="Calibri"/>
                <w:sz w:val="20"/>
                <w:szCs w:val="20"/>
              </w:rPr>
            </w:pPr>
            <w:r>
              <w:rPr>
                <w:rFonts w:cs="Calibri"/>
                <w:sz w:val="20"/>
                <w:szCs w:val="20"/>
              </w:rPr>
              <w:t>Contact with animal faeces</w:t>
            </w:r>
          </w:p>
          <w:p w14:paraId="1398A3C8" w14:textId="77777777" w:rsidR="005C1FF5" w:rsidRPr="004E04E2" w:rsidRDefault="005C1FF5" w:rsidP="004C463B">
            <w:pPr>
              <w:pStyle w:val="NoSpacing"/>
              <w:rPr>
                <w:rFonts w:cs="Calibri"/>
                <w:sz w:val="20"/>
                <w:szCs w:val="20"/>
              </w:rPr>
            </w:pPr>
          </w:p>
        </w:tc>
        <w:tc>
          <w:tcPr>
            <w:tcW w:w="1943" w:type="dxa"/>
            <w:gridSpan w:val="2"/>
            <w:shd w:val="clear" w:color="auto" w:fill="EDF0E7" w:themeFill="accent3" w:themeFillTint="33"/>
          </w:tcPr>
          <w:p w14:paraId="61CFDC89" w14:textId="6EFB031C" w:rsidR="005C1FF5" w:rsidRPr="004E04E2" w:rsidRDefault="00FA6A74" w:rsidP="004C463B">
            <w:pPr>
              <w:pStyle w:val="NoSpacing"/>
              <w:rPr>
                <w:rFonts w:cs="Calibri"/>
                <w:sz w:val="20"/>
                <w:szCs w:val="20"/>
              </w:rPr>
            </w:pPr>
            <w:r>
              <w:rPr>
                <w:rFonts w:cs="Calibri"/>
                <w:sz w:val="20"/>
                <w:szCs w:val="20"/>
              </w:rPr>
              <w:t>Injury – sickness if ingested</w:t>
            </w:r>
          </w:p>
        </w:tc>
        <w:tc>
          <w:tcPr>
            <w:tcW w:w="1912" w:type="dxa"/>
            <w:shd w:val="clear" w:color="auto" w:fill="EDF0E7" w:themeFill="accent3" w:themeFillTint="33"/>
          </w:tcPr>
          <w:p w14:paraId="7E4C6C67" w14:textId="2B6F6386" w:rsidR="005C1FF5" w:rsidRPr="004E04E2" w:rsidRDefault="00FA6A74" w:rsidP="004C463B">
            <w:pPr>
              <w:pStyle w:val="NoSpacing"/>
              <w:rPr>
                <w:rFonts w:cs="Calibri"/>
                <w:sz w:val="20"/>
                <w:szCs w:val="20"/>
              </w:rPr>
            </w:pPr>
            <w:r>
              <w:rPr>
                <w:rFonts w:cs="Calibri"/>
                <w:sz w:val="20"/>
                <w:szCs w:val="20"/>
              </w:rPr>
              <w:t>5x3=15</w:t>
            </w:r>
          </w:p>
        </w:tc>
        <w:tc>
          <w:tcPr>
            <w:tcW w:w="6520" w:type="dxa"/>
            <w:gridSpan w:val="2"/>
            <w:shd w:val="clear" w:color="auto" w:fill="EDF0E7" w:themeFill="accent3" w:themeFillTint="33"/>
          </w:tcPr>
          <w:p w14:paraId="06C60122" w14:textId="3BBA04F2" w:rsidR="005C1FF5" w:rsidRDefault="00B867FD" w:rsidP="004C463B">
            <w:pPr>
              <w:pStyle w:val="NoSpacing"/>
              <w:rPr>
                <w:rFonts w:cs="Calibri"/>
                <w:sz w:val="20"/>
                <w:szCs w:val="20"/>
              </w:rPr>
            </w:pPr>
            <w:r>
              <w:rPr>
                <w:rFonts w:cs="Calibri"/>
                <w:sz w:val="20"/>
                <w:szCs w:val="20"/>
              </w:rPr>
              <w:t>CT</w:t>
            </w:r>
            <w:r w:rsidR="00FA6A74">
              <w:rPr>
                <w:rFonts w:cs="Calibri"/>
                <w:sz w:val="20"/>
                <w:szCs w:val="20"/>
              </w:rPr>
              <w:t xml:space="preserve"> to check site before the </w:t>
            </w:r>
            <w:r>
              <w:rPr>
                <w:rFonts w:cs="Calibri"/>
                <w:sz w:val="20"/>
                <w:szCs w:val="20"/>
              </w:rPr>
              <w:t>OL</w:t>
            </w:r>
            <w:r w:rsidR="00FA6A74">
              <w:rPr>
                <w:rFonts w:cs="Calibri"/>
                <w:sz w:val="20"/>
                <w:szCs w:val="20"/>
              </w:rPr>
              <w:t xml:space="preserve"> session and remove any visible faeces, using gloves and bags, and to dispose of appropriately. </w:t>
            </w:r>
          </w:p>
          <w:p w14:paraId="75261964" w14:textId="77777777" w:rsidR="00827F18" w:rsidRDefault="00827F18" w:rsidP="004C463B">
            <w:pPr>
              <w:pStyle w:val="NoSpacing"/>
              <w:rPr>
                <w:rFonts w:cs="Calibri"/>
                <w:sz w:val="20"/>
                <w:szCs w:val="20"/>
              </w:rPr>
            </w:pPr>
            <w:r>
              <w:rPr>
                <w:rFonts w:cs="Calibri"/>
                <w:sz w:val="20"/>
                <w:szCs w:val="20"/>
              </w:rPr>
              <w:t>Safety talk and reminders to children to notify adults if they find faeces and not to touch.</w:t>
            </w:r>
          </w:p>
          <w:p w14:paraId="54E79631" w14:textId="29799A8C" w:rsidR="00827F18" w:rsidRPr="004E04E2" w:rsidRDefault="00827F18" w:rsidP="004C463B">
            <w:pPr>
              <w:pStyle w:val="NoSpacing"/>
              <w:rPr>
                <w:rFonts w:cs="Calibri"/>
                <w:sz w:val="20"/>
                <w:szCs w:val="20"/>
              </w:rPr>
            </w:pPr>
            <w:r>
              <w:rPr>
                <w:rFonts w:cs="Calibri"/>
                <w:sz w:val="20"/>
                <w:szCs w:val="20"/>
              </w:rPr>
              <w:t>Hand washing facilities available at all times, children to be encouraged to wash hands after activity and before eating.</w:t>
            </w:r>
          </w:p>
        </w:tc>
        <w:tc>
          <w:tcPr>
            <w:tcW w:w="1559" w:type="dxa"/>
            <w:shd w:val="clear" w:color="auto" w:fill="EDF0E7" w:themeFill="accent3" w:themeFillTint="33"/>
          </w:tcPr>
          <w:p w14:paraId="5379A97F" w14:textId="392AA522" w:rsidR="005C1FF5" w:rsidRPr="004E04E2" w:rsidRDefault="00827F18" w:rsidP="004C463B">
            <w:pPr>
              <w:pStyle w:val="NoSpacing"/>
              <w:rPr>
                <w:rFonts w:cs="Calibri"/>
                <w:sz w:val="20"/>
                <w:szCs w:val="20"/>
              </w:rPr>
            </w:pPr>
            <w:r>
              <w:rPr>
                <w:rFonts w:cs="Calibri"/>
                <w:sz w:val="20"/>
                <w:szCs w:val="20"/>
              </w:rPr>
              <w:t>1x3=3</w:t>
            </w:r>
          </w:p>
        </w:tc>
      </w:tr>
      <w:tr w:rsidR="006757B3" w14:paraId="07CD67AB" w14:textId="77777777" w:rsidTr="006757B3">
        <w:tc>
          <w:tcPr>
            <w:tcW w:w="2349" w:type="dxa"/>
            <w:shd w:val="clear" w:color="auto" w:fill="EDF0E7" w:themeFill="accent3" w:themeFillTint="33"/>
          </w:tcPr>
          <w:p w14:paraId="23D99D9B" w14:textId="340DCCA3" w:rsidR="006757B3" w:rsidRPr="004E04E2" w:rsidRDefault="00827F18" w:rsidP="004C463B">
            <w:pPr>
              <w:pStyle w:val="NoSpacing"/>
              <w:rPr>
                <w:rFonts w:cs="Calibri"/>
                <w:sz w:val="20"/>
                <w:szCs w:val="20"/>
              </w:rPr>
            </w:pPr>
            <w:r>
              <w:rPr>
                <w:rFonts w:cs="Calibri"/>
                <w:sz w:val="20"/>
                <w:szCs w:val="20"/>
              </w:rPr>
              <w:t>Slips, trips and falls</w:t>
            </w:r>
          </w:p>
        </w:tc>
        <w:tc>
          <w:tcPr>
            <w:tcW w:w="1943" w:type="dxa"/>
            <w:gridSpan w:val="2"/>
            <w:shd w:val="clear" w:color="auto" w:fill="EDF0E7" w:themeFill="accent3" w:themeFillTint="33"/>
          </w:tcPr>
          <w:p w14:paraId="08C80402" w14:textId="77777777" w:rsidR="00FE2304" w:rsidRDefault="00FE2304" w:rsidP="00FE2304">
            <w:pPr>
              <w:pStyle w:val="NoSpacing"/>
              <w:rPr>
                <w:rFonts w:cs="Calibri"/>
                <w:sz w:val="20"/>
                <w:szCs w:val="20"/>
              </w:rPr>
            </w:pPr>
            <w:r w:rsidRPr="00847B46">
              <w:rPr>
                <w:rFonts w:cs="Calibri"/>
                <w:sz w:val="20"/>
                <w:szCs w:val="20"/>
              </w:rPr>
              <w:t>Major accident</w:t>
            </w:r>
            <w:r>
              <w:rPr>
                <w:rFonts w:cs="Calibri"/>
                <w:sz w:val="20"/>
                <w:szCs w:val="20"/>
              </w:rPr>
              <w:t xml:space="preserve"> - </w:t>
            </w:r>
          </w:p>
          <w:p w14:paraId="6E801940" w14:textId="0EFD0DFF" w:rsidR="006757B3" w:rsidRPr="004E04E2" w:rsidRDefault="00FE2304" w:rsidP="00FE2304">
            <w:pPr>
              <w:pStyle w:val="NoSpacing"/>
              <w:rPr>
                <w:rFonts w:cs="Calibri"/>
                <w:sz w:val="20"/>
                <w:szCs w:val="20"/>
              </w:rPr>
            </w:pPr>
            <w:r>
              <w:rPr>
                <w:rFonts w:cs="Calibri"/>
                <w:sz w:val="20"/>
                <w:szCs w:val="20"/>
              </w:rPr>
              <w:t>Cuts, grazes, sprains and strains, broken bones, spinal injury, head injury, death.</w:t>
            </w:r>
          </w:p>
        </w:tc>
        <w:tc>
          <w:tcPr>
            <w:tcW w:w="1912" w:type="dxa"/>
            <w:shd w:val="clear" w:color="auto" w:fill="EDF0E7" w:themeFill="accent3" w:themeFillTint="33"/>
          </w:tcPr>
          <w:p w14:paraId="43559334" w14:textId="1D0E97BA" w:rsidR="006757B3" w:rsidRPr="004E04E2" w:rsidRDefault="00FE2304" w:rsidP="004C463B">
            <w:pPr>
              <w:pStyle w:val="NoSpacing"/>
              <w:rPr>
                <w:rFonts w:cs="Calibri"/>
                <w:sz w:val="20"/>
                <w:szCs w:val="20"/>
              </w:rPr>
            </w:pPr>
            <w:r>
              <w:rPr>
                <w:rFonts w:cs="Calibri"/>
                <w:sz w:val="20"/>
                <w:szCs w:val="20"/>
              </w:rPr>
              <w:t>5x5=15</w:t>
            </w:r>
          </w:p>
        </w:tc>
        <w:tc>
          <w:tcPr>
            <w:tcW w:w="6520" w:type="dxa"/>
            <w:gridSpan w:val="2"/>
            <w:shd w:val="clear" w:color="auto" w:fill="EDF0E7" w:themeFill="accent3" w:themeFillTint="33"/>
          </w:tcPr>
          <w:p w14:paraId="44FCFB8C" w14:textId="1ADD2B3B" w:rsidR="006757B3" w:rsidRDefault="00B867FD" w:rsidP="004C463B">
            <w:pPr>
              <w:pStyle w:val="NoSpacing"/>
              <w:rPr>
                <w:rFonts w:cs="Calibri"/>
                <w:sz w:val="20"/>
                <w:szCs w:val="20"/>
              </w:rPr>
            </w:pPr>
            <w:r>
              <w:rPr>
                <w:rFonts w:cs="Calibri"/>
                <w:sz w:val="20"/>
                <w:szCs w:val="20"/>
              </w:rPr>
              <w:t>CT</w:t>
            </w:r>
            <w:r w:rsidR="00FE2304">
              <w:rPr>
                <w:rFonts w:cs="Calibri"/>
                <w:sz w:val="20"/>
                <w:szCs w:val="20"/>
              </w:rPr>
              <w:t xml:space="preserve"> to check site before the </w:t>
            </w:r>
            <w:r>
              <w:rPr>
                <w:rFonts w:cs="Calibri"/>
                <w:sz w:val="20"/>
                <w:szCs w:val="20"/>
              </w:rPr>
              <w:t>OL</w:t>
            </w:r>
            <w:r w:rsidR="00FE2304">
              <w:rPr>
                <w:rFonts w:cs="Calibri"/>
                <w:sz w:val="20"/>
                <w:szCs w:val="20"/>
              </w:rPr>
              <w:t xml:space="preserve"> session and to inform participants of any slip or trip hazards before the activity</w:t>
            </w:r>
            <w:r w:rsidR="00291435">
              <w:rPr>
                <w:rFonts w:cs="Calibri"/>
                <w:sz w:val="20"/>
                <w:szCs w:val="20"/>
              </w:rPr>
              <w:t>.</w:t>
            </w:r>
          </w:p>
          <w:p w14:paraId="7593E483" w14:textId="6484E4A1" w:rsidR="00291435" w:rsidRPr="004E04E2" w:rsidRDefault="00291435" w:rsidP="004C463B">
            <w:pPr>
              <w:pStyle w:val="NoSpacing"/>
              <w:rPr>
                <w:rFonts w:cs="Calibri"/>
                <w:sz w:val="20"/>
                <w:szCs w:val="20"/>
              </w:rPr>
            </w:pPr>
            <w:r>
              <w:rPr>
                <w:rFonts w:cs="Calibri"/>
                <w:sz w:val="20"/>
                <w:szCs w:val="20"/>
              </w:rPr>
              <w:t>Teaching staff to set clear behavioural expectations and to give reminder if needed.</w:t>
            </w:r>
          </w:p>
          <w:p w14:paraId="384AF28A" w14:textId="77777777" w:rsidR="006757B3" w:rsidRPr="004E04E2" w:rsidRDefault="006757B3" w:rsidP="004C463B">
            <w:pPr>
              <w:pStyle w:val="NoSpacing"/>
              <w:rPr>
                <w:rFonts w:cs="Calibri"/>
                <w:sz w:val="20"/>
                <w:szCs w:val="20"/>
              </w:rPr>
            </w:pPr>
          </w:p>
          <w:p w14:paraId="2E477951" w14:textId="77777777" w:rsidR="006757B3" w:rsidRPr="004E04E2" w:rsidRDefault="006757B3" w:rsidP="004C463B">
            <w:pPr>
              <w:pStyle w:val="NoSpacing"/>
              <w:rPr>
                <w:rFonts w:cs="Calibri"/>
                <w:sz w:val="20"/>
                <w:szCs w:val="20"/>
              </w:rPr>
            </w:pPr>
          </w:p>
        </w:tc>
        <w:tc>
          <w:tcPr>
            <w:tcW w:w="1559" w:type="dxa"/>
            <w:shd w:val="clear" w:color="auto" w:fill="EDF0E7" w:themeFill="accent3" w:themeFillTint="33"/>
          </w:tcPr>
          <w:p w14:paraId="0705E275" w14:textId="5943EA20" w:rsidR="006757B3" w:rsidRPr="004E04E2" w:rsidRDefault="00291435" w:rsidP="004C463B">
            <w:pPr>
              <w:pStyle w:val="NoSpacing"/>
              <w:rPr>
                <w:rFonts w:cs="Calibri"/>
                <w:sz w:val="20"/>
                <w:szCs w:val="20"/>
              </w:rPr>
            </w:pPr>
            <w:r>
              <w:rPr>
                <w:rFonts w:cs="Calibri"/>
                <w:sz w:val="20"/>
                <w:szCs w:val="20"/>
              </w:rPr>
              <w:t>1x5=5</w:t>
            </w:r>
          </w:p>
        </w:tc>
      </w:tr>
      <w:tr w:rsidR="007F3ED1" w14:paraId="307FEE25" w14:textId="77777777" w:rsidTr="00EF6B10">
        <w:trPr>
          <w:trHeight w:val="1182"/>
        </w:trPr>
        <w:tc>
          <w:tcPr>
            <w:tcW w:w="14283" w:type="dxa"/>
            <w:gridSpan w:val="7"/>
            <w:shd w:val="clear" w:color="auto" w:fill="EDF0E7" w:themeFill="accent3" w:themeFillTint="33"/>
          </w:tcPr>
          <w:p w14:paraId="3A836AC4" w14:textId="77777777" w:rsidR="007F3ED1" w:rsidRDefault="007F3ED1" w:rsidP="007F3ED1">
            <w:pPr>
              <w:pStyle w:val="NoSpacing"/>
              <w:rPr>
                <w:rFonts w:cs="Calibri"/>
                <w:sz w:val="24"/>
                <w:szCs w:val="24"/>
              </w:rPr>
            </w:pPr>
          </w:p>
          <w:p w14:paraId="5EA3A65C" w14:textId="31D03A2C" w:rsidR="007F3ED1" w:rsidRPr="00245B11" w:rsidRDefault="007F3ED1" w:rsidP="007F3ED1">
            <w:pPr>
              <w:pStyle w:val="NoSpacing"/>
              <w:rPr>
                <w:rFonts w:ascii="Calibri" w:hAnsi="Calibri" w:cs="Calibri"/>
              </w:rPr>
            </w:pPr>
            <w:r w:rsidRPr="00245B11">
              <w:rPr>
                <w:rFonts w:ascii="Calibri" w:hAnsi="Calibri" w:cs="Calibri"/>
              </w:rPr>
              <w:t>Any further information which needs to be noted:</w:t>
            </w:r>
            <w:r w:rsidR="00B867FD">
              <w:rPr>
                <w:rFonts w:ascii="Calibri" w:hAnsi="Calibri" w:cs="Calibri"/>
              </w:rPr>
              <w:t xml:space="preserve"> </w:t>
            </w:r>
          </w:p>
          <w:p w14:paraId="47320A5D" w14:textId="77777777" w:rsidR="007F3ED1" w:rsidRDefault="007F3ED1" w:rsidP="007F3ED1">
            <w:pPr>
              <w:pStyle w:val="NoSpacing"/>
              <w:rPr>
                <w:rFonts w:ascii="Calibri" w:hAnsi="Calibri" w:cs="Calibri"/>
              </w:rPr>
            </w:pPr>
          </w:p>
          <w:p w14:paraId="65C45DAF" w14:textId="77777777" w:rsidR="00B67E0E" w:rsidRDefault="00B67E0E" w:rsidP="007F3ED1">
            <w:pPr>
              <w:pStyle w:val="NoSpacing"/>
              <w:rPr>
                <w:rFonts w:ascii="Calibri" w:hAnsi="Calibri" w:cs="Calibri"/>
              </w:rPr>
            </w:pPr>
          </w:p>
          <w:p w14:paraId="394B02DA" w14:textId="77777777" w:rsidR="00B67E0E" w:rsidRDefault="00B67E0E" w:rsidP="007F3ED1">
            <w:pPr>
              <w:pStyle w:val="NoSpacing"/>
              <w:rPr>
                <w:rFonts w:ascii="Calibri" w:hAnsi="Calibri" w:cs="Calibri"/>
              </w:rPr>
            </w:pPr>
          </w:p>
          <w:p w14:paraId="0DB93DD7" w14:textId="77777777" w:rsidR="007F3ED1" w:rsidRDefault="007F3ED1" w:rsidP="007F3ED1">
            <w:pPr>
              <w:pStyle w:val="NoSpacing"/>
              <w:rPr>
                <w:rFonts w:cs="Calibri"/>
                <w:sz w:val="24"/>
                <w:szCs w:val="24"/>
              </w:rPr>
            </w:pPr>
            <w:r>
              <w:rPr>
                <w:rFonts w:ascii="Calibri" w:hAnsi="Calibri" w:cs="Calibri"/>
              </w:rPr>
              <w:t>Please note – (Your</w:t>
            </w:r>
            <w:r w:rsidR="007C26E7">
              <w:rPr>
                <w:rFonts w:ascii="Calibri" w:hAnsi="Calibri" w:cs="Calibri"/>
              </w:rPr>
              <w:t xml:space="preserve"> setting</w:t>
            </w:r>
            <w:r>
              <w:rPr>
                <w:rFonts w:ascii="Calibri" w:hAnsi="Calibri" w:cs="Calibri"/>
              </w:rPr>
              <w:t>)</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16861003" w14:textId="77777777" w:rsidR="007F3ED1" w:rsidRDefault="007F3ED1" w:rsidP="007F3ED1">
            <w:pPr>
              <w:pStyle w:val="NoSpacing"/>
              <w:rPr>
                <w:rFonts w:cs="Calibri"/>
                <w:sz w:val="24"/>
                <w:szCs w:val="24"/>
              </w:rPr>
            </w:pPr>
          </w:p>
          <w:p w14:paraId="302111B1" w14:textId="77777777" w:rsidR="007F3ED1" w:rsidRDefault="007F3ED1" w:rsidP="007F3ED1">
            <w:pPr>
              <w:pStyle w:val="NoSpacing"/>
              <w:rPr>
                <w:rFonts w:cs="Calibri"/>
                <w:sz w:val="24"/>
                <w:szCs w:val="24"/>
              </w:rPr>
            </w:pPr>
          </w:p>
          <w:p w14:paraId="7FB07B87" w14:textId="77777777" w:rsidR="007F3ED1" w:rsidRDefault="007F3ED1" w:rsidP="007F3ED1">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t>Signed:</w:t>
            </w:r>
          </w:p>
          <w:p w14:paraId="5761BB44" w14:textId="77777777" w:rsidR="00D16865" w:rsidRDefault="00D16865"/>
        </w:tc>
        <w:tc>
          <w:tcPr>
            <w:tcW w:w="4725" w:type="dxa"/>
            <w:shd w:val="clear" w:color="auto" w:fill="DBE2CF" w:themeFill="accent3" w:themeFillTint="66"/>
          </w:tcPr>
          <w:p w14:paraId="5B59F485" w14:textId="1C546541" w:rsidR="00F55C07" w:rsidRDefault="00F55C07">
            <w:r>
              <w:t>Position:</w:t>
            </w:r>
            <w:r w:rsidR="00D24B97">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t>This assessment is reviewed annually unless accident/incident occurs requiring immediate review.</w:t>
      </w:r>
    </w:p>
    <w:sectPr w:rsidR="00F55C07" w:rsidSect="008F247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pgNumType w:start="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F30B3" w14:textId="77777777" w:rsidR="00F8282C" w:rsidRDefault="00F8282C" w:rsidP="005C1FF5">
      <w:pPr>
        <w:spacing w:after="0" w:line="240" w:lineRule="auto"/>
      </w:pPr>
      <w:r>
        <w:separator/>
      </w:r>
    </w:p>
  </w:endnote>
  <w:endnote w:type="continuationSeparator" w:id="0">
    <w:p w14:paraId="6EE5B554" w14:textId="77777777" w:rsidR="00F8282C" w:rsidRDefault="00F8282C"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AC26" w14:textId="77777777" w:rsidR="00D40220" w:rsidRDefault="00D40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2E9D" w14:textId="77777777" w:rsidR="007F3ED1" w:rsidRDefault="007F3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2D61" w14:textId="77777777" w:rsidR="00D40220" w:rsidRDefault="00D4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A8106" w14:textId="77777777" w:rsidR="00F8282C" w:rsidRDefault="00F8282C" w:rsidP="005C1FF5">
      <w:pPr>
        <w:spacing w:after="0" w:line="240" w:lineRule="auto"/>
      </w:pPr>
      <w:r>
        <w:separator/>
      </w:r>
    </w:p>
  </w:footnote>
  <w:footnote w:type="continuationSeparator" w:id="0">
    <w:p w14:paraId="65585E6C" w14:textId="77777777" w:rsidR="00F8282C" w:rsidRDefault="00F8282C"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A38D" w14:textId="77777777" w:rsidR="00D40220" w:rsidRDefault="00D40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3FCE0C49" w:rsidR="005C1FF5" w:rsidRDefault="000E20D0"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Risk Benefit Assessment for the following experience: Collection of natural materials</w:t>
        </w:r>
      </w:p>
    </w:sdtContent>
  </w:sdt>
  <w:p w14:paraId="4C7BA441" w14:textId="77777777" w:rsidR="005C1FF5" w:rsidRDefault="005C1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675F" w14:textId="77777777" w:rsidR="00D40220" w:rsidRDefault="00D40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52D67"/>
    <w:rsid w:val="0008336E"/>
    <w:rsid w:val="000C625C"/>
    <w:rsid w:val="000D0D93"/>
    <w:rsid w:val="000E20D0"/>
    <w:rsid w:val="00114411"/>
    <w:rsid w:val="00167448"/>
    <w:rsid w:val="00196FB3"/>
    <w:rsid w:val="001B0DCD"/>
    <w:rsid w:val="001D1608"/>
    <w:rsid w:val="001D52EB"/>
    <w:rsid w:val="00246753"/>
    <w:rsid w:val="002859CE"/>
    <w:rsid w:val="00291435"/>
    <w:rsid w:val="002A7166"/>
    <w:rsid w:val="00311DD7"/>
    <w:rsid w:val="00354EDE"/>
    <w:rsid w:val="00357934"/>
    <w:rsid w:val="00361332"/>
    <w:rsid w:val="00370C68"/>
    <w:rsid w:val="00394943"/>
    <w:rsid w:val="00396BC2"/>
    <w:rsid w:val="003B4ECA"/>
    <w:rsid w:val="003E56C0"/>
    <w:rsid w:val="004E04E2"/>
    <w:rsid w:val="00596B94"/>
    <w:rsid w:val="005A6D19"/>
    <w:rsid w:val="005B708C"/>
    <w:rsid w:val="005C1FF5"/>
    <w:rsid w:val="005F07E3"/>
    <w:rsid w:val="00602CBD"/>
    <w:rsid w:val="0063608E"/>
    <w:rsid w:val="006757B3"/>
    <w:rsid w:val="006B4CA0"/>
    <w:rsid w:val="006C0107"/>
    <w:rsid w:val="00740BB8"/>
    <w:rsid w:val="0077574D"/>
    <w:rsid w:val="007C26E7"/>
    <w:rsid w:val="007F3ED1"/>
    <w:rsid w:val="00827F18"/>
    <w:rsid w:val="008337FA"/>
    <w:rsid w:val="008667CE"/>
    <w:rsid w:val="00876B86"/>
    <w:rsid w:val="0088514C"/>
    <w:rsid w:val="0089563A"/>
    <w:rsid w:val="008A68BB"/>
    <w:rsid w:val="008F2472"/>
    <w:rsid w:val="00931043"/>
    <w:rsid w:val="0094066C"/>
    <w:rsid w:val="00952E32"/>
    <w:rsid w:val="00962F5C"/>
    <w:rsid w:val="00993BC3"/>
    <w:rsid w:val="009C09B5"/>
    <w:rsid w:val="009D222B"/>
    <w:rsid w:val="00A17B63"/>
    <w:rsid w:val="00A60460"/>
    <w:rsid w:val="00A64BE7"/>
    <w:rsid w:val="00A875D9"/>
    <w:rsid w:val="00AA32F6"/>
    <w:rsid w:val="00AB204D"/>
    <w:rsid w:val="00AE4C72"/>
    <w:rsid w:val="00B058E1"/>
    <w:rsid w:val="00B24B7C"/>
    <w:rsid w:val="00B34399"/>
    <w:rsid w:val="00B67E0E"/>
    <w:rsid w:val="00B80418"/>
    <w:rsid w:val="00B867FD"/>
    <w:rsid w:val="00BC6799"/>
    <w:rsid w:val="00C56B68"/>
    <w:rsid w:val="00C74EDB"/>
    <w:rsid w:val="00C90A9D"/>
    <w:rsid w:val="00CE2088"/>
    <w:rsid w:val="00CE5E60"/>
    <w:rsid w:val="00D16865"/>
    <w:rsid w:val="00D24B97"/>
    <w:rsid w:val="00D40220"/>
    <w:rsid w:val="00D65820"/>
    <w:rsid w:val="00DF4111"/>
    <w:rsid w:val="00E3449C"/>
    <w:rsid w:val="00E3584F"/>
    <w:rsid w:val="00E54A5A"/>
    <w:rsid w:val="00E56A41"/>
    <w:rsid w:val="00EB7F26"/>
    <w:rsid w:val="00EC3FBF"/>
    <w:rsid w:val="00F2283E"/>
    <w:rsid w:val="00F55C07"/>
    <w:rsid w:val="00F700DA"/>
    <w:rsid w:val="00F75936"/>
    <w:rsid w:val="00F81B0E"/>
    <w:rsid w:val="00F8282C"/>
    <w:rsid w:val="00FA6A74"/>
    <w:rsid w:val="00FB586F"/>
    <w:rsid w:val="00FE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49B351DB-BDF4-4A66-A652-5378BF91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0251D0"/>
    <w:rsid w:val="0019175C"/>
    <w:rsid w:val="001F4A71"/>
    <w:rsid w:val="0021770F"/>
    <w:rsid w:val="00235B01"/>
    <w:rsid w:val="00426F15"/>
    <w:rsid w:val="0047605F"/>
    <w:rsid w:val="004E3B19"/>
    <w:rsid w:val="00525336"/>
    <w:rsid w:val="005C78AA"/>
    <w:rsid w:val="0069726E"/>
    <w:rsid w:val="007023B0"/>
    <w:rsid w:val="00836F3F"/>
    <w:rsid w:val="008C4570"/>
    <w:rsid w:val="008C7210"/>
    <w:rsid w:val="00975177"/>
    <w:rsid w:val="009902B2"/>
    <w:rsid w:val="00A15B87"/>
    <w:rsid w:val="00A23B8F"/>
    <w:rsid w:val="00A45DDE"/>
    <w:rsid w:val="00A8048E"/>
    <w:rsid w:val="00AA53C3"/>
    <w:rsid w:val="00B96DDF"/>
    <w:rsid w:val="00C44C8E"/>
    <w:rsid w:val="00CA6D1A"/>
    <w:rsid w:val="00CD5581"/>
    <w:rsid w:val="00CD633E"/>
    <w:rsid w:val="00D36EC5"/>
    <w:rsid w:val="00DB4FCF"/>
    <w:rsid w:val="00DD1D04"/>
    <w:rsid w:val="00E93CE6"/>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Example Template:  Risk Benefit Assessment for the following experience:</vt:lpstr>
    </vt:vector>
  </TitlesOfParts>
  <Company>Hewlett-Packard Company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for the following experience: Collection of natural materials</dc:title>
  <dc:creator>Owner</dc:creator>
  <cp:lastModifiedBy>Mrs J Chambers</cp:lastModifiedBy>
  <cp:revision>9</cp:revision>
  <cp:lastPrinted>2018-07-26T16:53:00Z</cp:lastPrinted>
  <dcterms:created xsi:type="dcterms:W3CDTF">2020-02-22T18:45:00Z</dcterms:created>
  <dcterms:modified xsi:type="dcterms:W3CDTF">2022-03-19T17:34:00Z</dcterms:modified>
</cp:coreProperties>
</file>